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752"/>
        <w:gridCol w:w="3600"/>
        <w:gridCol w:w="3024"/>
      </w:tblGrid>
      <w:tr>
        <w:trPr>
          <w:trHeight w:val="835" w:hRule="atLeast"/>
          <w:cantSplit/>
        </w:trPr>
        <w:tc>
          <w:tcPr>
            <w:tcW w:type="dxa" w:w="4752"/>
            <w:tcMar>
              <w:top w:w="20" w:type="dxa"/>
              <w:left w:w="40" w:type="dxa"/>
              <w:bottom w:w="20" w:type="dxa"/>
              <w:right w:w="40" w:type="dxa"/>
            </w:tcMar>
            <w:vAlign w:val="center"/>
          </w:tcPr>
          <w:p>
            <w:pPr>
              <w:widowControl/>
              <w:spacing w:before="0" w:after="0" w:line="259" w:lineRule="auto"/>
              <w:jc w:val="left"/>
            </w:pPr>
            <w:r>
              <w:drawing>
                <wp:inline xmlns:a="http://schemas.openxmlformats.org/drawingml/2006/main" xmlns:pic="http://schemas.openxmlformats.org/drawingml/2006/picture">
                  <wp:extent cx="2331720" cy="433034"/>
                  <wp:docPr id="1" name="Picture 1"/>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2331720" cy="433034"/>
                          </a:xfrm>
                          <a:prstGeom prst="rect"/>
                        </pic:spPr>
                      </pic:pic>
                    </a:graphicData>
                  </a:graphic>
                </wp:inline>
              </w:drawing>
            </w:r>
          </w:p>
        </w:tc>
        <w:tc>
          <w:tcPr>
            <w:tcW w:type="dxa" w:w="3600"/>
            <w:tcMar>
              <w:top w:w="20" w:type="dxa"/>
              <w:left w:w="40" w:type="dxa"/>
              <w:bottom w:w="20" w:type="dxa"/>
              <w:right w:w="40" w:type="dxa"/>
            </w:tcMar>
            <w:vAlign w:val="center"/>
          </w:tcPr>
          <w:p>
            <w:pPr>
              <w:widowControl/>
              <w:spacing w:before="0" w:after="0" w:line="259" w:lineRule="auto"/>
              <w:jc w:val="right"/>
            </w:pPr>
            <w:r>
              <w:rPr>
                <w:rFonts w:ascii="Calibri" w:hAnsi="Calibri" w:eastAsia="Calibri" w:cs="Calibri"/>
                <w:b/>
                <w:i w:val="0"/>
                <w:color w:val="112A5A"/>
                <w:sz w:val="32"/>
              </w:rPr>
              <w:t>STS-6741</w:t>
            </w:r>
          </w:p>
          <w:p>
            <w:pPr>
              <w:widowControl/>
              <w:spacing w:before="0" w:after="0" w:line="259" w:lineRule="auto"/>
              <w:jc w:val="right"/>
            </w:pPr>
            <w:r>
              <w:rPr>
                <w:rFonts w:ascii="Calibri" w:hAnsi="Calibri" w:eastAsia="Calibri" w:cs="Calibri"/>
                <w:b w:val="0"/>
                <w:i w:val="0"/>
                <w:color w:val="4C547D"/>
                <w:sz w:val="18"/>
              </w:rPr>
              <w:t>Wireless Emergency Pool Phone</w:t>
            </w:r>
          </w:p>
        </w:tc>
        <w:tc>
          <w:tcPr>
            <w:tcW w:type="dxa" w:w="3024"/>
            <w:tcMar>
              <w:top w:w="20" w:type="dxa"/>
              <w:left w:w="40" w:type="dxa"/>
              <w:bottom w:w="20" w:type="dxa"/>
              <w:right w:w="40" w:type="dxa"/>
            </w:tcMar>
            <w:vAlign w:val="center"/>
          </w:tcPr>
          <w:p>
            <w:pPr>
              <w:widowControl/>
              <w:spacing w:before="0" w:after="0" w:line="259" w:lineRule="auto"/>
              <w:jc w:val="right"/>
            </w:pPr>
            <w:r>
              <w:drawing>
                <wp:inline xmlns:a="http://schemas.openxmlformats.org/drawingml/2006/main" xmlns:pic="http://schemas.openxmlformats.org/drawingml/2006/picture">
                  <wp:extent cx="1737360" cy="735037"/>
                  <wp:docPr id="2" name="Picture 2"/>
                  <wp:cNvGraphicFramePr>
                    <a:graphicFrameLocks noChangeAspect="1"/>
                  </wp:cNvGraphicFramePr>
                  <a:graphic>
                    <a:graphicData uri="http://schemas.openxmlformats.org/drawingml/2006/picture">
                      <pic:pic>
                        <pic:nvPicPr>
                          <pic:cNvPr id="0" name="orbs.png"/>
                          <pic:cNvPicPr/>
                        </pic:nvPicPr>
                        <pic:blipFill>
                          <a:blip r:embed="rId10"/>
                          <a:stretch>
                            <a:fillRect/>
                          </a:stretch>
                        </pic:blipFill>
                        <pic:spPr>
                          <a:xfrm>
                            <a:off x="0" y="0"/>
                            <a:ext cx="1737360" cy="735037"/>
                          </a:xfrm>
                          <a:prstGeom prst="rect"/>
                        </pic:spPr>
                      </pic:pic>
                    </a:graphicData>
                  </a:graphic>
                </wp:inline>
              </w:drawing>
            </w:r>
          </w:p>
        </w:tc>
      </w:tr>
    </w:tbl>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rPr>
          <w:trHeight w:val="64" w:hRule="exact"/>
        </w:trPr>
        <w:tc>
          <w:tcPr>
            <w:tcW w:type="dxa" w:w="11376"/>
            <w:shd w:val="clear" w:color="auto" w:fill="005DE0"/>
            <w:tcMar>
              <w:top w:w="0" w:type="dxa"/>
              <w:left w:w="0" w:type="dxa"/>
              <w:bottom w:w="0" w:type="dxa"/>
              <w:right w:w="0" w:type="dxa"/>
            </w:tcMar>
          </w:tcPr>
          <w:p>
            <w:pPr>
              <w:widowControl/>
              <w:spacing w:before="0" w:after="0" w:line="259" w:lineRule="auto"/>
              <w:jc w:val="left"/>
            </w:pPr>
            <w:r>
              <w:rPr>
                <w:rFonts w:ascii="Calibri" w:hAnsi="Calibri" w:eastAsia="Calibri" w:cs="Calibri"/>
                <w:b w:val="0"/>
                <w:i w:val="0"/>
                <w:color w:val="005DE0"/>
                <w:sz w:val="4"/>
              </w:rPr>
              <w:t xml:space="preserve"> </w:t>
            </w:r>
          </w:p>
        </w:tc>
      </w:tr>
    </w:tbl>
    <w:p>
      <w:pPr>
        <w:widowControl/>
        <w:spacing w:before="0" w:after="0" w:line="240" w:lineRule="auto"/>
        <w:jc w:val="left"/>
      </w:pPr>
      <w:r>
        <w:rPr>
          <w:rFonts w:ascii="Calibri" w:hAnsi="Calibri" w:eastAsia="Calibri" w:cs="Calibri"/>
          <w:b w:val="0"/>
          <w:i w:val="0"/>
          <w:color w:val="FFFFFF"/>
          <w:sz w:val="10"/>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552"/>
        <w:gridCol w:w="4824"/>
      </w:tblGrid>
      <w:tr>
        <w:tc>
          <w:tcPr>
            <w:tcW w:type="dxa" w:w="6552"/>
            <w:tcMar>
              <w:top w:w="40" w:type="dxa"/>
              <w:left w:w="40" w:type="dxa"/>
              <w:bottom w:w="60" w:type="dxa"/>
              <w:right w:w="120" w:type="dxa"/>
            </w:tcMar>
            <w:vAlign w:val="center"/>
          </w:tcPr>
          <w:p>
            <w:pPr>
              <w:widowControl/>
              <w:spacing w:before="0" w:after="200" w:line="252" w:lineRule="auto"/>
              <w:jc w:val="left"/>
            </w:pPr>
            <w:r>
              <w:rPr>
                <w:rFonts w:ascii="Calibri" w:hAnsi="Calibri" w:eastAsia="Calibri" w:cs="Calibri"/>
                <w:b/>
                <w:i w:val="0"/>
                <w:color w:val="252737"/>
                <w:sz w:val="52"/>
              </w:rPr>
              <w:t>Save money with an all-in-one wireless emergency pool phone.</w:t>
            </w:r>
          </w:p>
          <w:p>
            <w:pPr>
              <w:widowControl/>
              <w:spacing w:before="0" w:after="0" w:line="283" w:lineRule="auto"/>
              <w:jc w:val="left"/>
            </w:pPr>
            <w:r>
              <w:rPr>
                <w:rFonts w:ascii="Calibri" w:hAnsi="Calibri" w:eastAsia="Calibri" w:cs="Calibri"/>
                <w:b w:val="0"/>
                <w:i w:val="0"/>
                <w:color w:val="252737"/>
                <w:sz w:val="21"/>
              </w:rPr>
              <w:t>The STS-6741 enables communities, builders, and property managers to keep using a dedicated pool emergency phone while migrating off copper. It is an all-in-one 4G/LTE solution — hardware, enclosure, power, and service — running on a dedicated wireless network. No landline. No trenching. Direct 911.</w:t>
            </w:r>
          </w:p>
        </w:tc>
        <w:tc>
          <w:tcPr>
            <w:tcW w:type="dxa" w:w="4824"/>
            <w:tcMar>
              <w:top w:w="0" w:type="dxa"/>
              <w:left w:w="40" w:type="dxa"/>
              <w:bottom w:w="0" w:type="dxa"/>
              <w:right w:w="0" w:type="dxa"/>
            </w:tcMar>
          </w:tcPr>
          <w:p>
            <w:pPr>
              <w:widowControl/>
              <w:spacing w:before="0" w:after="0" w:line="259" w:lineRule="auto"/>
              <w:jc w:val="left"/>
            </w:pPr>
            <w:r>
              <w:drawing>
                <wp:inline xmlns:a="http://schemas.openxmlformats.org/drawingml/2006/main" xmlns:pic="http://schemas.openxmlformats.org/drawingml/2006/picture">
                  <wp:extent cx="2999232" cy="1799539"/>
                  <wp:docPr id="3" name="Picture 3"/>
                  <wp:cNvGraphicFramePr>
                    <a:graphicFrameLocks noChangeAspect="1"/>
                  </wp:cNvGraphicFramePr>
                  <a:graphic>
                    <a:graphicData uri="http://schemas.openxmlformats.org/drawingml/2006/picture">
                      <pic:pic>
                        <pic:nvPicPr>
                          <pic:cNvPr id="0" name="hero-panel.png"/>
                          <pic:cNvPicPr/>
                        </pic:nvPicPr>
                        <pic:blipFill>
                          <a:blip r:embed="rId11"/>
                          <a:stretch>
                            <a:fillRect/>
                          </a:stretch>
                        </pic:blipFill>
                        <pic:spPr>
                          <a:xfrm>
                            <a:off x="0" y="0"/>
                            <a:ext cx="2999232" cy="1799539"/>
                          </a:xfrm>
                          <a:prstGeom prst="rect"/>
                        </pic:spPr>
                      </pic:pic>
                    </a:graphicData>
                  </a:graphic>
                </wp:inline>
              </w:drawing>
            </w:r>
          </w:p>
        </w:tc>
      </w:tr>
    </w:tbl>
    <w:p>
      <w:pPr>
        <w:widowControl/>
        <w:spacing w:before="0" w:after="0" w:line="240" w:lineRule="auto"/>
        <w:jc w:val="left"/>
      </w:pPr>
      <w:r>
        <w:rPr>
          <w:rFonts w:ascii="Calibri" w:hAnsi="Calibri" w:eastAsia="Calibri" w:cs="Calibri"/>
          <w:b w:val="0"/>
          <w:i w:val="0"/>
          <w:color w:val="FFFFFF"/>
          <w:sz w:val="16"/>
        </w:rPr>
        <w:t xml:space="preserve"> </w:t>
      </w:r>
    </w:p>
    <w:p>
      <w:pPr>
        <w:widowControl/>
        <w:spacing w:before="0" w:after="0" w:line="240" w:lineRule="auto"/>
        <w:jc w:val="left"/>
      </w:pPr>
      <w:r>
        <w:rPr>
          <w:rFonts w:ascii="Calibri" w:hAnsi="Calibri" w:eastAsia="Calibri" w:cs="Calibri"/>
          <w:b w:val="0"/>
          <w:i w:val="0"/>
          <w:color w:val="FFFFFF"/>
          <w:sz w:val="16"/>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544"/>
        <w:gridCol w:w="5832"/>
      </w:tblGrid>
      <w:tr>
        <w:tc>
          <w:tcPr>
            <w:tcW w:type="dxa" w:w="5544"/>
            <w:tcMar>
              <w:top w:w="40" w:type="dxa"/>
              <w:left w:w="40" w:type="dxa"/>
              <w:bottom w:w="40" w:type="dxa"/>
              <w:right w:w="80" w:type="dxa"/>
            </w:tcMar>
          </w:tcPr>
          <w:p>
            <w:pPr>
              <w:widowControl/>
              <w:spacing w:before="0" w:after="160" w:line="259" w:lineRule="auto"/>
              <w:jc w:val="left"/>
            </w:pPr>
            <w:r>
              <w:rPr>
                <w:rFonts w:ascii="Calibri" w:hAnsi="Calibri" w:eastAsia="Calibri" w:cs="Calibri"/>
                <w:b/>
                <w:i w:val="0"/>
                <w:color w:val="252737"/>
                <w:sz w:val="28"/>
              </w:rPr>
              <w:t>STS-6741 is ideal for:</w:t>
            </w:r>
          </w:p>
          <w:tbl>
            <w:tblPr>
              <w:tblW w:type="dxa" w:w="5328"/>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664"/>
              <w:gridCol w:w="2664"/>
            </w:tblGrid>
            <w:tr>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4" name="Picture 4"/>
                              <wp:cNvGraphicFramePr>
                                <a:graphicFrameLocks noChangeAspect="1"/>
                              </wp:cNvGraphicFramePr>
                              <a:graphic>
                                <a:graphicData uri="http://schemas.openxmlformats.org/drawingml/2006/picture">
                                  <pic:pic>
                                    <pic:nvPicPr>
                                      <pic:cNvPr id="0" name="icon-pools.png"/>
                                      <pic:cNvPicPr/>
                                    </pic:nvPicPr>
                                    <pic:blipFill>
                                      <a:blip r:embed="rId12"/>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Commercial Pools</w:t>
                        </w:r>
                      </w:p>
                    </w:tc>
                  </w:tr>
                </w:tbl>
                <w:p/>
              </w:tc>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5" name="Picture 5"/>
                              <wp:cNvGraphicFramePr>
                                <a:graphicFrameLocks noChangeAspect="1"/>
                              </wp:cNvGraphicFramePr>
                              <a:graphic>
                                <a:graphicData uri="http://schemas.openxmlformats.org/drawingml/2006/picture">
                                  <pic:pic>
                                    <pic:nvPicPr>
                                      <pic:cNvPr id="0" name="icon-community.png"/>
                                      <pic:cNvPicPr/>
                                    </pic:nvPicPr>
                                    <pic:blipFill>
                                      <a:blip r:embed="rId13"/>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Multi-Tenant Community Pools</w:t>
                        </w:r>
                      </w:p>
                    </w:tc>
                  </w:tr>
                </w:tbl>
                <w:p/>
              </w:tc>
            </w:tr>
            <w:tr>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6" name="Picture 6"/>
                              <wp:cNvGraphicFramePr>
                                <a:graphicFrameLocks noChangeAspect="1"/>
                              </wp:cNvGraphicFramePr>
                              <a:graphic>
                                <a:graphicData uri="http://schemas.openxmlformats.org/drawingml/2006/picture">
                                  <pic:pic>
                                    <pic:nvPicPr>
                                      <pic:cNvPr id="0" name="icon-clubhouse.png"/>
                                      <pic:cNvPicPr/>
                                    </pic:nvPicPr>
                                    <pic:blipFill>
                                      <a:blip r:embed="rId14"/>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HOA / Clubhouse Pools</w:t>
                        </w:r>
                      </w:p>
                    </w:tc>
                  </w:tr>
                </w:tbl>
                <w:p/>
              </w:tc>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7" name="Picture 7"/>
                              <wp:cNvGraphicFramePr>
                                <a:graphicFrameLocks noChangeAspect="1"/>
                              </wp:cNvGraphicFramePr>
                              <a:graphic>
                                <a:graphicData uri="http://schemas.openxmlformats.org/drawingml/2006/picture">
                                  <pic:pic>
                                    <pic:nvPicPr>
                                      <pic:cNvPr id="0" name="icon-apartments.png"/>
                                      <pic:cNvPicPr/>
                                    </pic:nvPicPr>
                                    <pic:blipFill>
                                      <a:blip r:embed="rId15"/>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Apartment Complexes</w:t>
                        </w:r>
                      </w:p>
                    </w:tc>
                  </w:tr>
                </w:tbl>
                <w:p/>
              </w:tc>
            </w:tr>
            <w:tr>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8" name="Picture 8"/>
                              <wp:cNvGraphicFramePr>
                                <a:graphicFrameLocks noChangeAspect="1"/>
                              </wp:cNvGraphicFramePr>
                              <a:graphic>
                                <a:graphicData uri="http://schemas.openxmlformats.org/drawingml/2006/picture">
                                  <pic:pic>
                                    <pic:nvPicPr>
                                      <pic:cNvPr id="0" name="icon-construction.png"/>
                                      <pic:cNvPicPr/>
                                    </pic:nvPicPr>
                                    <pic:blipFill>
                                      <a:blip r:embed="rId16"/>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New Commercial Construction</w:t>
                        </w:r>
                      </w:p>
                    </w:tc>
                  </w:tr>
                </w:tbl>
                <w:p/>
              </w:tc>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9" name="Picture 9"/>
                              <wp:cNvGraphicFramePr>
                                <a:graphicFrameLocks noChangeAspect="1"/>
                              </wp:cNvGraphicFramePr>
                              <a:graphic>
                                <a:graphicData uri="http://schemas.openxmlformats.org/drawingml/2006/picture">
                                  <pic:pic>
                                    <pic:nvPicPr>
                                      <pic:cNvPr id="0" name="icon-retrofit.png"/>
                                      <pic:cNvPicPr/>
                                    </pic:nvPicPr>
                                    <pic:blipFill>
                                      <a:blip r:embed="rId17"/>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Existing Deck Retrofits</w:t>
                        </w:r>
                      </w:p>
                    </w:tc>
                  </w:tr>
                </w:tbl>
                <w:p/>
              </w:tc>
            </w:tr>
            <w:tr>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10" name="Picture 10"/>
                              <wp:cNvGraphicFramePr>
                                <a:graphicFrameLocks noChangeAspect="1"/>
                              </wp:cNvGraphicFramePr>
                              <a:graphic>
                                <a:graphicData uri="http://schemas.openxmlformats.org/drawingml/2006/picture">
                                  <pic:pic>
                                    <pic:nvPicPr>
                                      <pic:cNvPr id="0" name="icon-builders.png"/>
                                      <pic:cNvPicPr/>
                                    </pic:nvPicPr>
                                    <pic:blipFill>
                                      <a:blip r:embed="rId18"/>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Builders &amp; Contractors</w:t>
                        </w:r>
                      </w:p>
                    </w:tc>
                  </w:tr>
                </w:tbl>
                <w:p/>
              </w:tc>
              <w:tc>
                <w:tcPr>
                  <w:tcW w:type="dxa" w:w="2664"/>
                  <w:vAlign w:val="center"/>
                  <w:tcMar>
                    <w:top w:w="50" w:type="dxa"/>
                    <w:left w:w="40" w:type="dxa"/>
                    <w:bottom w:w="50" w:type="dxa"/>
                    <w:right w:w="40" w:type="dxa"/>
                  </w:tcMar>
                </w:tcPr>
                <w:p/>
                <w:tbl>
                  <w:tblPr>
                    <w:tblW w:type="dxa" w:w="2563"/>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47"/>
                    <w:gridCol w:w="2015"/>
                  </w:tblGrid>
                  <w:tr>
                    <w:tc>
                      <w:tcPr>
                        <w:tcW w:type="dxa" w:w="547"/>
                        <w:vAlign w:val="center"/>
                        <w:tcMar>
                          <w:top w:w="0" w:type="dxa"/>
                          <w:left w:w="0" w:type="dxa"/>
                          <w:bottom w:w="0" w:type="dxa"/>
                          <w:right w:w="20" w:type="dxa"/>
                        </w:tcMar>
                      </w:tcPr>
                      <w:p>
                        <w:pPr>
                          <w:widowControl/>
                          <w:spacing w:before="0" w:after="0" w:line="259" w:lineRule="auto"/>
                          <w:jc w:val="left"/>
                        </w:pPr>
                        <w:r>
                          <w:drawing>
                            <wp:inline xmlns:a="http://schemas.openxmlformats.org/drawingml/2006/main" xmlns:pic="http://schemas.openxmlformats.org/drawingml/2006/picture">
                              <wp:extent cx="292608" cy="292608"/>
                              <wp:docPr id="11" name="Picture 11"/>
                              <wp:cNvGraphicFramePr>
                                <a:graphicFrameLocks noChangeAspect="1"/>
                              </wp:cNvGraphicFramePr>
                              <a:graphic>
                                <a:graphicData uri="http://schemas.openxmlformats.org/drawingml/2006/picture">
                                  <pic:pic>
                                    <pic:nvPicPr>
                                      <pic:cNvPr id="0" name="icon-managers.png"/>
                                      <pic:cNvPicPr/>
                                    </pic:nvPicPr>
                                    <pic:blipFill>
                                      <a:blip r:embed="rId19"/>
                                      <a:stretch>
                                        <a:fillRect/>
                                      </a:stretch>
                                    </pic:blipFill>
                                    <pic:spPr>
                                      <a:xfrm>
                                        <a:off x="0" y="0"/>
                                        <a:ext cx="292608" cy="292608"/>
                                      </a:xfrm>
                                      <a:prstGeom prst="rect"/>
                                    </pic:spPr>
                                  </pic:pic>
                                </a:graphicData>
                              </a:graphic>
                            </wp:inline>
                          </w:drawing>
                        </w:r>
                      </w:p>
                    </w:tc>
                    <w:tc>
                      <w:tcPr>
                        <w:tcW w:type="dxa" w:w="2015"/>
                        <w:vAlign w:val="center"/>
                        <w:tcMar>
                          <w:top w:w="20" w:type="dxa"/>
                          <w:left w:w="40" w:type="dxa"/>
                          <w:bottom w:w="0" w:type="dxa"/>
                          <w:right w:w="0" w:type="dxa"/>
                        </w:tcMar>
                      </w:tcPr>
                      <w:p>
                        <w:pPr>
                          <w:widowControl/>
                          <w:spacing w:before="0" w:after="0" w:line="252" w:lineRule="auto"/>
                          <w:jc w:val="left"/>
                        </w:pPr>
                        <w:r>
                          <w:rPr>
                            <w:rFonts w:ascii="Calibri" w:hAnsi="Calibri" w:eastAsia="Calibri" w:cs="Calibri"/>
                            <w:b/>
                            <w:i w:val="0"/>
                            <w:color w:val="252737"/>
                            <w:sz w:val="18"/>
                          </w:rPr>
                          <w:t>Property Managers</w:t>
                        </w:r>
                      </w:p>
                    </w:tc>
                  </w:tr>
                </w:tbl>
                <w:p/>
              </w:tc>
            </w:tr>
          </w:tbl>
          <w:p/>
        </w:tc>
        <w:tc>
          <w:tcPr>
            <w:tcW w:type="dxa" w:w="5832"/>
            <w:tcMar>
              <w:top w:w="0" w:type="dxa"/>
              <w:left w:w="40" w:type="dxa"/>
              <w:bottom w:w="0" w:type="dxa"/>
              <w:right w:w="0" w:type="dxa"/>
            </w:tcMar>
          </w:tcPr>
          <w:p>
            <w:pPr>
              <w:widowControl/>
              <w:spacing w:before="0" w:after="0" w:line="259" w:lineRule="auto"/>
              <w:jc w:val="left"/>
            </w:pPr>
            <w:r>
              <w:drawing>
                <wp:inline xmlns:a="http://schemas.openxmlformats.org/drawingml/2006/main" xmlns:pic="http://schemas.openxmlformats.org/drawingml/2006/picture">
                  <wp:extent cx="3383280" cy="2551960"/>
                  <wp:docPr id="12" name="Picture 12"/>
                  <wp:cNvGraphicFramePr>
                    <a:graphicFrameLocks noChangeAspect="1"/>
                  </wp:cNvGraphicFramePr>
                  <a:graphic>
                    <a:graphicData uri="http://schemas.openxmlformats.org/drawingml/2006/picture">
                      <pic:pic>
                        <pic:nvPicPr>
                          <pic:cNvPr id="0" name="sts-6741-kit.png"/>
                          <pic:cNvPicPr/>
                        </pic:nvPicPr>
                        <pic:blipFill>
                          <a:blip r:embed="rId20"/>
                          <a:stretch>
                            <a:fillRect/>
                          </a:stretch>
                        </pic:blipFill>
                        <pic:spPr>
                          <a:xfrm>
                            <a:off x="0" y="0"/>
                            <a:ext cx="3383280" cy="2551960"/>
                          </a:xfrm>
                          <a:prstGeom prst="rect"/>
                        </pic:spPr>
                      </pic:pic>
                    </a:graphicData>
                  </a:graphic>
                </wp:inline>
              </w:drawing>
            </w:r>
          </w:p>
        </w:tc>
      </w:tr>
    </w:tbl>
    <w:p>
      <w:pPr>
        <w:widowControl/>
        <w:spacing w:before="0" w:after="0" w:line="240" w:lineRule="auto"/>
        <w:jc w:val="left"/>
      </w:pPr>
      <w:r>
        <w:rPr>
          <w:rFonts w:ascii="Calibri" w:hAnsi="Calibri" w:eastAsia="Calibri" w:cs="Calibri"/>
          <w:b w:val="0"/>
          <w:i w:val="0"/>
          <w:color w:val="FFFFFF"/>
          <w:sz w:val="14"/>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688"/>
        <w:gridCol w:w="5688"/>
      </w:tblGrid>
      <w:tr>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Tremendous value</w:t>
            </w:r>
          </w:p>
          <w:p>
            <w:pPr>
              <w:widowControl/>
              <w:spacing w:before="0" w:after="0" w:line="269" w:lineRule="auto"/>
              <w:jc w:val="left"/>
            </w:pPr>
            <w:r>
              <w:rPr>
                <w:rFonts w:ascii="Calibri" w:hAnsi="Calibri" w:eastAsia="Calibri" w:cs="Calibri"/>
                <w:b w:val="0"/>
                <w:i w:val="0"/>
                <w:color w:val="252737"/>
                <w:sz w:val="18"/>
              </w:rPr>
              <w:t>•  Save money on customer monthly copper bills. Earn 75-100% one-time margins on equipment and 30-50% monthly recurring margins on service.</w:t>
            </w:r>
          </w:p>
        </w:tc>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Compliance</w:t>
            </w:r>
          </w:p>
          <w:p>
            <w:pPr>
              <w:widowControl/>
              <w:spacing w:before="0" w:after="0" w:line="269" w:lineRule="auto"/>
              <w:jc w:val="left"/>
            </w:pPr>
            <w:r>
              <w:rPr>
                <w:rFonts w:ascii="Calibri" w:hAnsi="Calibri" w:eastAsia="Calibri" w:cs="Calibri"/>
                <w:b w:val="0"/>
                <w:i w:val="0"/>
                <w:color w:val="252737"/>
                <w:sz w:val="18"/>
              </w:rPr>
              <w:t>•  Designed to help communities meet emergency communication requirements for commercial and multi-tenant pools.</w:t>
            </w:r>
          </w:p>
        </w:tc>
      </w:tr>
      <w:tr>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Simple migration</w:t>
            </w:r>
          </w:p>
          <w:p>
            <w:pPr>
              <w:widowControl/>
              <w:spacing w:before="0" w:after="0" w:line="269" w:lineRule="auto"/>
              <w:jc w:val="left"/>
            </w:pPr>
            <w:r>
              <w:rPr>
                <w:rFonts w:ascii="Calibri" w:hAnsi="Calibri" w:eastAsia="Calibri" w:cs="Calibri"/>
                <w:b w:val="0"/>
                <w:i w:val="0"/>
                <w:color w:val="252737"/>
                <w:sz w:val="18"/>
              </w:rPr>
              <w:t>•  A quick, easy migration — keep a familiar handset and retire the landline without tearing up the deck.</w:t>
            </w:r>
          </w:p>
        </w:tc>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Easy install</w:t>
            </w:r>
          </w:p>
          <w:p>
            <w:pPr>
              <w:widowControl/>
              <w:spacing w:before="0" w:after="0" w:line="269" w:lineRule="auto"/>
              <w:jc w:val="left"/>
            </w:pPr>
            <w:r>
              <w:rPr>
                <w:rFonts w:ascii="Calibri" w:hAnsi="Calibri" w:eastAsia="Calibri" w:cs="Calibri"/>
                <w:b w:val="0"/>
                <w:i w:val="0"/>
                <w:color w:val="252737"/>
                <w:sz w:val="18"/>
              </w:rPr>
              <w:t>•  Attach to a wall near a standard 120V outlet. Four mounting screws. No electrician. No trenching.</w:t>
            </w:r>
          </w:p>
        </w:tc>
      </w:tr>
      <w:tr>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No landline required</w:t>
            </w:r>
          </w:p>
          <w:p>
            <w:pPr>
              <w:widowControl/>
              <w:spacing w:before="0" w:after="0" w:line="269" w:lineRule="auto"/>
              <w:jc w:val="left"/>
            </w:pPr>
            <w:r>
              <w:rPr>
                <w:rFonts w:ascii="Calibri" w:hAnsi="Calibri" w:eastAsia="Calibri" w:cs="Calibri"/>
                <w:b w:val="0"/>
                <w:i w:val="0"/>
                <w:color w:val="252737"/>
                <w:sz w:val="18"/>
              </w:rPr>
              <w:t>•  Dedicated 4G/LTE cellular service eliminates copper, conduit, and trenching for new builds or retrofits.</w:t>
            </w:r>
          </w:p>
        </w:tc>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Direct 911 connectivity</w:t>
            </w:r>
          </w:p>
          <w:p>
            <w:pPr>
              <w:widowControl/>
              <w:spacing w:before="0" w:after="0" w:line="269" w:lineRule="auto"/>
              <w:jc w:val="left"/>
            </w:pPr>
            <w:r>
              <w:rPr>
                <w:rFonts w:ascii="Calibri" w:hAnsi="Calibri" w:eastAsia="Calibri" w:cs="Calibri"/>
                <w:b w:val="0"/>
                <w:i w:val="0"/>
                <w:color w:val="252737"/>
                <w:sz w:val="18"/>
              </w:rPr>
              <w:t>•  Lift the handset and the call routes to local 911 dispatch — not a monitoring center or third-party service.</w:t>
            </w:r>
          </w:p>
        </w:tc>
      </w:tr>
      <w:tr>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Weatherproof enclosure</w:t>
            </w:r>
          </w:p>
          <w:p>
            <w:pPr>
              <w:widowControl/>
              <w:spacing w:before="0" w:after="0" w:line="269" w:lineRule="auto"/>
              <w:jc w:val="left"/>
            </w:pPr>
            <w:r>
              <w:rPr>
                <w:rFonts w:ascii="Calibri" w:hAnsi="Calibri" w:eastAsia="Calibri" w:cs="Calibri"/>
                <w:b w:val="0"/>
                <w:i w:val="0"/>
                <w:color w:val="252737"/>
                <w:sz w:val="18"/>
              </w:rPr>
              <w:t>•  NEMA-rated IP66 housing built to withstand rain, humidity, pool chemicals, and outdoor exposure.</w:t>
            </w:r>
          </w:p>
        </w:tc>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Battery backup</w:t>
            </w:r>
          </w:p>
          <w:p>
            <w:pPr>
              <w:widowControl/>
              <w:spacing w:before="0" w:after="0" w:line="269" w:lineRule="auto"/>
              <w:jc w:val="left"/>
            </w:pPr>
            <w:r>
              <w:rPr>
                <w:rFonts w:ascii="Calibri" w:hAnsi="Calibri" w:eastAsia="Calibri" w:cs="Calibri"/>
                <w:b w:val="0"/>
                <w:i w:val="0"/>
                <w:color w:val="252737"/>
                <w:sz w:val="18"/>
              </w:rPr>
              <w:t>•  3.7V 800mAh lithium-ion backup helps maintain service during an unforeseen power event.</w:t>
            </w:r>
          </w:p>
        </w:tc>
      </w:tr>
      <w:tr>
        <w:tc>
          <w:tcPr>
            <w:tcW w:type="dxa" w:w="5688"/>
            <w:tcMar>
              <w:top w:w="50" w:type="dxa"/>
              <w:left w:w="60" w:type="dxa"/>
              <w:bottom w:w="40" w:type="dxa"/>
              <w:right w:w="80" w:type="dxa"/>
            </w:tcMar>
          </w:tcPr>
          <w:p>
            <w:pPr>
              <w:widowControl/>
              <w:spacing w:before="0" w:after="20" w:line="259" w:lineRule="auto"/>
              <w:jc w:val="left"/>
            </w:pPr>
            <w:r>
              <w:rPr>
                <w:rFonts w:ascii="Calibri" w:hAnsi="Calibri" w:eastAsia="Calibri" w:cs="Calibri"/>
                <w:b/>
                <w:i w:val="0"/>
                <w:color w:val="112A5A"/>
                <w:sz w:val="22"/>
              </w:rPr>
              <w:t>All-inclusive solution</w:t>
            </w:r>
          </w:p>
          <w:p>
            <w:pPr>
              <w:widowControl/>
              <w:spacing w:before="0" w:after="0" w:line="269" w:lineRule="auto"/>
              <w:jc w:val="left"/>
            </w:pPr>
            <w:r>
              <w:rPr>
                <w:rFonts w:ascii="Calibri" w:hAnsi="Calibri" w:eastAsia="Calibri" w:cs="Calibri"/>
                <w:b w:val="0"/>
                <w:i w:val="0"/>
                <w:color w:val="252737"/>
                <w:sz w:val="18"/>
              </w:rPr>
              <w:t>•  Phone, enclosure, adapter, and service from one provider — with 24/7 troubleshooting and repair.</w:t>
            </w:r>
          </w:p>
        </w:tc>
        <w:tc>
          <w:tcPr>
            <w:tcW w:type="dxa" w:w="5688"/>
          </w:tcPr>
          <w:p/>
        </w:tc>
      </w:tr>
    </w:tbl>
    <w:p>
      <w:pPr>
        <w:widowControl/>
        <w:spacing w:before="0" w:after="0" w:line="240" w:lineRule="auto"/>
        <w:jc w:val="left"/>
      </w:pPr>
      <w:r>
        <w:rPr>
          <w:rFonts w:ascii="Calibri" w:hAnsi="Calibri" w:eastAsia="Calibri" w:cs="Calibri"/>
          <w:b w:val="0"/>
          <w:i w:val="0"/>
          <w:color w:val="FFFFFF"/>
          <w:sz w:val="16"/>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shd w:val="clear" w:color="auto" w:fill="005DE0"/>
            <w:tcMar>
              <w:top w:w="80" w:type="dxa"/>
              <w:left w:w="140" w:type="dxa"/>
              <w:bottom w:w="80" w:type="dxa"/>
              <w:right w:w="140" w:type="dxa"/>
            </w:tcMar>
            <w:vAlign w:val="center"/>
          </w:tcPr>
          <w:p>
            <w:pPr>
              <w:widowControl/>
              <w:spacing w:before="0" w:after="0" w:line="259" w:lineRule="auto"/>
              <w:jc w:val="center"/>
            </w:pPr>
            <w:r>
              <w:rPr>
                <w:rFonts w:ascii="Calibri" w:hAnsi="Calibri" w:eastAsia="Calibri" w:cs="Calibri"/>
                <w:b/>
                <w:i w:val="0"/>
                <w:color w:val="FFFFFF"/>
                <w:sz w:val="20"/>
              </w:rPr>
              <w:t>Save money with the STS-6741.  Call  866-711-3398  today for more information.</w:t>
            </w:r>
          </w:p>
        </w:tc>
      </w:tr>
    </w:tbl>
    <w:p>
      <w:pPr>
        <w:widowControl/>
        <w:spacing w:before="0" w:after="0" w:line="259" w:lineRule="auto"/>
        <w:jc w:val="left"/>
      </w:pPr>
      <w:r>
        <w:br w:type="page"/>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752"/>
        <w:gridCol w:w="3600"/>
        <w:gridCol w:w="3024"/>
      </w:tblGrid>
      <w:tr>
        <w:trPr>
          <w:trHeight w:val="835" w:hRule="atLeast"/>
          <w:cantSplit/>
        </w:trPr>
        <w:tc>
          <w:tcPr>
            <w:tcW w:type="dxa" w:w="4752"/>
            <w:tcMar>
              <w:top w:w="20" w:type="dxa"/>
              <w:left w:w="40" w:type="dxa"/>
              <w:bottom w:w="20" w:type="dxa"/>
              <w:right w:w="40" w:type="dxa"/>
            </w:tcMar>
            <w:vAlign w:val="center"/>
          </w:tcPr>
          <w:p>
            <w:pPr>
              <w:widowControl/>
              <w:spacing w:before="0" w:after="0" w:line="259" w:lineRule="auto"/>
              <w:jc w:val="left"/>
            </w:pPr>
            <w:r>
              <w:drawing>
                <wp:inline xmlns:a="http://schemas.openxmlformats.org/drawingml/2006/main" xmlns:pic="http://schemas.openxmlformats.org/drawingml/2006/picture">
                  <wp:extent cx="2331720" cy="433034"/>
                  <wp:docPr id="13" name="Picture 13"/>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2331720" cy="433034"/>
                          </a:xfrm>
                          <a:prstGeom prst="rect"/>
                        </pic:spPr>
                      </pic:pic>
                    </a:graphicData>
                  </a:graphic>
                </wp:inline>
              </w:drawing>
            </w:r>
          </w:p>
        </w:tc>
        <w:tc>
          <w:tcPr>
            <w:tcW w:type="dxa" w:w="3600"/>
            <w:tcMar>
              <w:top w:w="20" w:type="dxa"/>
              <w:left w:w="40" w:type="dxa"/>
              <w:bottom w:w="20" w:type="dxa"/>
              <w:right w:w="40" w:type="dxa"/>
            </w:tcMar>
            <w:vAlign w:val="center"/>
          </w:tcPr>
          <w:p>
            <w:pPr>
              <w:widowControl/>
              <w:spacing w:before="0" w:after="0" w:line="259" w:lineRule="auto"/>
              <w:jc w:val="right"/>
            </w:pPr>
            <w:r>
              <w:rPr>
                <w:rFonts w:ascii="Calibri" w:hAnsi="Calibri" w:eastAsia="Calibri" w:cs="Calibri"/>
                <w:b/>
                <w:i w:val="0"/>
                <w:color w:val="112A5A"/>
                <w:sz w:val="32"/>
              </w:rPr>
              <w:t>STS-6741</w:t>
            </w:r>
          </w:p>
          <w:p>
            <w:pPr>
              <w:widowControl/>
              <w:spacing w:before="0" w:after="0" w:line="259" w:lineRule="auto"/>
              <w:jc w:val="right"/>
            </w:pPr>
            <w:r>
              <w:rPr>
                <w:rFonts w:ascii="Calibri" w:hAnsi="Calibri" w:eastAsia="Calibri" w:cs="Calibri"/>
                <w:b w:val="0"/>
                <w:i w:val="0"/>
                <w:color w:val="4C547D"/>
                <w:sz w:val="18"/>
              </w:rPr>
              <w:t>Complete Kit  ·  How It Works</w:t>
            </w:r>
          </w:p>
        </w:tc>
        <w:tc>
          <w:tcPr>
            <w:tcW w:type="dxa" w:w="3024"/>
            <w:tcMar>
              <w:top w:w="20" w:type="dxa"/>
              <w:left w:w="40" w:type="dxa"/>
              <w:bottom w:w="20" w:type="dxa"/>
              <w:right w:w="40" w:type="dxa"/>
            </w:tcMar>
            <w:vAlign w:val="center"/>
          </w:tcPr>
          <w:p>
            <w:pPr>
              <w:widowControl/>
              <w:spacing w:before="0" w:after="0" w:line="259" w:lineRule="auto"/>
              <w:jc w:val="right"/>
            </w:pPr>
            <w:r>
              <w:drawing>
                <wp:inline xmlns:a="http://schemas.openxmlformats.org/drawingml/2006/main" xmlns:pic="http://schemas.openxmlformats.org/drawingml/2006/picture">
                  <wp:extent cx="1737360" cy="735037"/>
                  <wp:docPr id="14" name="Picture 14"/>
                  <wp:cNvGraphicFramePr>
                    <a:graphicFrameLocks noChangeAspect="1"/>
                  </wp:cNvGraphicFramePr>
                  <a:graphic>
                    <a:graphicData uri="http://schemas.openxmlformats.org/drawingml/2006/picture">
                      <pic:pic>
                        <pic:nvPicPr>
                          <pic:cNvPr id="0" name="orbs.png"/>
                          <pic:cNvPicPr/>
                        </pic:nvPicPr>
                        <pic:blipFill>
                          <a:blip r:embed="rId10"/>
                          <a:stretch>
                            <a:fillRect/>
                          </a:stretch>
                        </pic:blipFill>
                        <pic:spPr>
                          <a:xfrm>
                            <a:off x="0" y="0"/>
                            <a:ext cx="1737360" cy="735037"/>
                          </a:xfrm>
                          <a:prstGeom prst="rect"/>
                        </pic:spPr>
                      </pic:pic>
                    </a:graphicData>
                  </a:graphic>
                </wp:inline>
              </w:drawing>
            </w:r>
          </w:p>
        </w:tc>
      </w:tr>
    </w:tbl>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rPr>
          <w:trHeight w:val="64" w:hRule="exact"/>
        </w:trPr>
        <w:tc>
          <w:tcPr>
            <w:tcW w:type="dxa" w:w="11376"/>
            <w:shd w:val="clear" w:color="auto" w:fill="005DE0"/>
            <w:tcMar>
              <w:top w:w="0" w:type="dxa"/>
              <w:left w:w="0" w:type="dxa"/>
              <w:bottom w:w="0" w:type="dxa"/>
              <w:right w:w="0" w:type="dxa"/>
            </w:tcMar>
          </w:tcPr>
          <w:p>
            <w:pPr>
              <w:widowControl/>
              <w:spacing w:before="0" w:after="0" w:line="259" w:lineRule="auto"/>
              <w:jc w:val="left"/>
            </w:pPr>
            <w:r>
              <w:rPr>
                <w:rFonts w:ascii="Calibri" w:hAnsi="Calibri" w:eastAsia="Calibri" w:cs="Calibri"/>
                <w:b w:val="0"/>
                <w:i w:val="0"/>
                <w:color w:val="005DE0"/>
                <w:sz w:val="4"/>
              </w:rPr>
              <w:t xml:space="preserve"> </w:t>
            </w:r>
          </w:p>
        </w:tc>
      </w:tr>
    </w:tbl>
    <w:p>
      <w:pPr>
        <w:widowControl/>
        <w:spacing w:before="0" w:after="0" w:line="240" w:lineRule="auto"/>
        <w:jc w:val="left"/>
      </w:pPr>
      <w:r>
        <w:rPr>
          <w:rFonts w:ascii="Calibri" w:hAnsi="Calibri" w:eastAsia="Calibri" w:cs="Calibri"/>
          <w:b w:val="0"/>
          <w:i w:val="0"/>
          <w:color w:val="FFFFFF"/>
          <w:sz w:val="8"/>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8063"/>
        <w:gridCol w:w="3311"/>
      </w:tblGrid>
      <w:tr>
        <w:tc>
          <w:tcPr>
            <w:tcW w:type="dxa" w:w="8063"/>
            <w:tcMar>
              <w:top w:w="20" w:type="dxa"/>
              <w:left w:w="40" w:type="dxa"/>
              <w:bottom w:w="20" w:type="dxa"/>
              <w:right w:w="40" w:type="dxa"/>
            </w:tcMar>
          </w:tcPr>
          <w:p>
            <w:pPr>
              <w:widowControl/>
              <w:spacing w:before="0" w:after="40" w:line="259" w:lineRule="auto"/>
              <w:jc w:val="left"/>
            </w:pPr>
            <w:r>
              <w:rPr>
                <w:rFonts w:ascii="Calibri" w:hAnsi="Calibri" w:eastAsia="Calibri" w:cs="Calibri"/>
                <w:b/>
                <w:i w:val="0"/>
                <w:color w:val="252737"/>
                <w:sz w:val="40"/>
              </w:rPr>
              <w:t>Everything You Need, Ready to Go</w:t>
            </w:r>
          </w:p>
          <w:p>
            <w:pPr>
              <w:widowControl/>
              <w:spacing w:before="0" w:after="0" w:line="259" w:lineRule="auto"/>
              <w:jc w:val="left"/>
            </w:pPr>
            <w:r>
              <w:rPr>
                <w:rFonts w:ascii="Calibri" w:hAnsi="Calibri" w:eastAsia="Calibri" w:cs="Calibri"/>
                <w:b w:val="0"/>
                <w:i w:val="0"/>
                <w:color w:val="4C547D"/>
                <w:sz w:val="20"/>
              </w:rPr>
              <w:t>Includes phone, enclosure, adapter, and service.  $250 one-time equipment fee.  Service plans from $19.99/month.</w:t>
            </w:r>
          </w:p>
        </w:tc>
        <w:tc>
          <w:tcPr>
            <w:tcW w:type="dxa" w:w="3311"/>
            <w:tcMar>
              <w:top w:w="20" w:type="dxa"/>
              <w:left w:w="40" w:type="dxa"/>
              <w:bottom w:w="20" w:type="dxa"/>
              <w:right w:w="40" w:type="dxa"/>
            </w:tcMar>
            <w:vAlign w:val="center"/>
            <w:shd w:val="clear" w:color="auto" w:fill="005DE0"/>
          </w:tcPr>
          <w:p>
            <w:pPr>
              <w:widowControl/>
              <w:spacing w:before="0" w:after="0" w:line="259" w:lineRule="auto"/>
              <w:jc w:val="center"/>
            </w:pPr>
            <w:r>
              <w:rPr>
                <w:rFonts w:ascii="Calibri" w:hAnsi="Calibri" w:eastAsia="Calibri" w:cs="Calibri"/>
                <w:b/>
                <w:i w:val="0"/>
                <w:color w:val="FFFFFF"/>
                <w:sz w:val="18"/>
              </w:rPr>
              <w:t>COMPLETE KIT</w:t>
            </w:r>
          </w:p>
          <w:p>
            <w:pPr>
              <w:widowControl/>
              <w:spacing w:before="0" w:after="0" w:line="259" w:lineRule="auto"/>
              <w:jc w:val="center"/>
            </w:pPr>
            <w:r>
              <w:rPr>
                <w:rFonts w:ascii="Calibri" w:hAnsi="Calibri" w:eastAsia="Calibri" w:cs="Calibri"/>
                <w:b/>
                <w:i w:val="0"/>
                <w:color w:val="FFFFFF"/>
                <w:sz w:val="20"/>
              </w:rPr>
              <w:t>Self-install ready</w:t>
            </w:r>
          </w:p>
        </w:tc>
      </w:tr>
    </w:tbl>
    <w:p>
      <w:pPr>
        <w:widowControl/>
        <w:spacing w:before="0" w:after="0" w:line="240" w:lineRule="auto"/>
        <w:jc w:val="left"/>
      </w:pPr>
      <w:r>
        <w:rPr>
          <w:rFonts w:ascii="Calibri" w:hAnsi="Calibri" w:eastAsia="Calibri" w:cs="Calibri"/>
          <w:b w:val="0"/>
          <w:i w:val="0"/>
          <w:color w:val="FFFFFF"/>
          <w:sz w:val="10"/>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5328"/>
        <w:gridCol w:w="6048"/>
      </w:tblGrid>
      <w:tr>
        <w:tc>
          <w:tcPr>
            <w:tcW w:type="dxa" w:w="5328"/>
            <w:tcMar>
              <w:top w:w="0" w:type="dxa"/>
              <w:left w:w="20" w:type="dxa"/>
              <w:bottom w:w="0" w:type="dxa"/>
              <w:right w:w="40" w:type="dxa"/>
            </w:tcMar>
          </w:tcPr>
          <w:p>
            <w:pPr>
              <w:widowControl/>
              <w:spacing w:before="0" w:after="0" w:line="259" w:lineRule="auto"/>
              <w:jc w:val="left"/>
            </w:pPr>
            <w:r>
              <w:drawing>
                <wp:inline xmlns:a="http://schemas.openxmlformats.org/drawingml/2006/main" xmlns:pic="http://schemas.openxmlformats.org/drawingml/2006/picture">
                  <wp:extent cx="3383280" cy="2551960"/>
                  <wp:docPr id="15" name="Picture 15"/>
                  <wp:cNvGraphicFramePr>
                    <a:graphicFrameLocks noChangeAspect="1"/>
                  </wp:cNvGraphicFramePr>
                  <a:graphic>
                    <a:graphicData uri="http://schemas.openxmlformats.org/drawingml/2006/picture">
                      <pic:pic>
                        <pic:nvPicPr>
                          <pic:cNvPr id="0" name="sts-6741-kit.png"/>
                          <pic:cNvPicPr/>
                        </pic:nvPicPr>
                        <pic:blipFill>
                          <a:blip r:embed="rId20"/>
                          <a:stretch>
                            <a:fillRect/>
                          </a:stretch>
                        </pic:blipFill>
                        <pic:spPr>
                          <a:xfrm>
                            <a:off x="0" y="0"/>
                            <a:ext cx="3383280" cy="2551960"/>
                          </a:xfrm>
                          <a:prstGeom prst="rect"/>
                        </pic:spPr>
                      </pic:pic>
                    </a:graphicData>
                  </a:graphic>
                </wp:inline>
              </w:drawing>
            </w:r>
          </w:p>
        </w:tc>
        <w:tc>
          <w:tcPr>
            <w:tcW w:type="dxa" w:w="6048"/>
            <w:tcMar>
              <w:top w:w="20" w:type="dxa"/>
              <w:left w:w="80" w:type="dxa"/>
              <w:bottom w:w="20" w:type="dxa"/>
              <w:right w:w="20" w:type="dxa"/>
            </w:tcMar>
          </w:tcPr>
          <w:p>
            <w:pPr>
              <w:widowControl/>
              <w:spacing w:before="0" w:after="120" w:line="259" w:lineRule="auto"/>
              <w:jc w:val="left"/>
            </w:pPr>
            <w:r>
              <w:rPr>
                <w:rFonts w:ascii="Calibri" w:hAnsi="Calibri" w:eastAsia="Calibri" w:cs="Calibri"/>
                <w:b/>
                <w:i w:val="0"/>
                <w:color w:val="112A5A"/>
                <w:sz w:val="26"/>
              </w:rPr>
              <w:t>What's in the enclosure</w:t>
            </w:r>
          </w:p>
          <w:p>
            <w:pPr>
              <w:widowControl/>
              <w:spacing w:before="0" w:after="0" w:line="259" w:lineRule="auto"/>
              <w:jc w:val="left"/>
            </w:pPr>
            <w:r>
              <w:rPr>
                <w:rFonts w:ascii="Calibri" w:hAnsi="Calibri" w:eastAsia="Calibri" w:cs="Calibri"/>
                <w:b/>
                <w:i w:val="0"/>
                <w:color w:val="252737"/>
                <w:sz w:val="20"/>
              </w:rPr>
              <w:t>Weatherproof enclosure</w:t>
            </w:r>
          </w:p>
          <w:p>
            <w:pPr>
              <w:widowControl/>
              <w:spacing w:before="0" w:after="100" w:line="259" w:lineRule="auto"/>
              <w:jc w:val="left"/>
            </w:pPr>
            <w:r>
              <w:rPr>
                <w:rFonts w:ascii="Calibri" w:hAnsi="Calibri" w:eastAsia="Calibri" w:cs="Calibri"/>
                <w:b w:val="0"/>
                <w:i w:val="0"/>
                <w:color w:val="4C547D"/>
                <w:sz w:val="17"/>
              </w:rPr>
              <w:t>NEMA-rated IP66 housing with clear door, engineered for rain, humidity, splash, and pool chemicals.</w:t>
            </w:r>
          </w:p>
          <w:p>
            <w:pPr>
              <w:widowControl/>
              <w:spacing w:before="0" w:after="0" w:line="259" w:lineRule="auto"/>
              <w:jc w:val="left"/>
            </w:pPr>
            <w:r>
              <w:rPr>
                <w:rFonts w:ascii="Calibri" w:hAnsi="Calibri" w:eastAsia="Calibri" w:cs="Calibri"/>
                <w:b/>
                <w:i w:val="0"/>
                <w:color w:val="252737"/>
                <w:sz w:val="20"/>
              </w:rPr>
              <w:t>Non-proprietary trimline telephone</w:t>
            </w:r>
          </w:p>
          <w:p>
            <w:pPr>
              <w:widowControl/>
              <w:spacing w:before="0" w:after="100" w:line="259" w:lineRule="auto"/>
              <w:jc w:val="left"/>
            </w:pPr>
            <w:r>
              <w:rPr>
                <w:rFonts w:ascii="Calibri" w:hAnsi="Calibri" w:eastAsia="Calibri" w:cs="Calibri"/>
                <w:b w:val="0"/>
                <w:i w:val="0"/>
                <w:color w:val="4C547D"/>
                <w:sz w:val="17"/>
              </w:rPr>
              <w:t>Familiar handset operation. Compliant in counties that prohibit push-button phones.</w:t>
            </w:r>
          </w:p>
          <w:p>
            <w:pPr>
              <w:widowControl/>
              <w:spacing w:before="0" w:after="0" w:line="259" w:lineRule="auto"/>
              <w:jc w:val="left"/>
            </w:pPr>
            <w:r>
              <w:rPr>
                <w:rFonts w:ascii="Calibri" w:hAnsi="Calibri" w:eastAsia="Calibri" w:cs="Calibri"/>
                <w:b/>
                <w:i w:val="0"/>
                <w:color w:val="252737"/>
                <w:sz w:val="20"/>
              </w:rPr>
              <w:t>4G/LTE fixed wireless terminal</w:t>
            </w:r>
          </w:p>
          <w:p>
            <w:pPr>
              <w:widowControl/>
              <w:spacing w:before="0" w:after="100" w:line="259" w:lineRule="auto"/>
              <w:jc w:val="left"/>
            </w:pPr>
            <w:r>
              <w:rPr>
                <w:rFonts w:ascii="Calibri" w:hAnsi="Calibri" w:eastAsia="Calibri" w:cs="Calibri"/>
                <w:b w:val="0"/>
                <w:i w:val="0"/>
                <w:color w:val="4C547D"/>
                <w:sz w:val="17"/>
              </w:rPr>
              <w:t>Permanently affixed in the enclosure, behind the handset. Delivers an analog FXS line over cellular.</w:t>
            </w:r>
          </w:p>
          <w:p>
            <w:pPr>
              <w:widowControl/>
              <w:spacing w:before="0" w:after="0" w:line="259" w:lineRule="auto"/>
              <w:jc w:val="left"/>
            </w:pPr>
            <w:r>
              <w:rPr>
                <w:rFonts w:ascii="Calibri" w:hAnsi="Calibri" w:eastAsia="Calibri" w:cs="Calibri"/>
                <w:b/>
                <w:i w:val="0"/>
                <w:color w:val="252737"/>
                <w:sz w:val="20"/>
              </w:rPr>
              <w:t>Lithium-ion battery backup</w:t>
            </w:r>
          </w:p>
          <w:p>
            <w:pPr>
              <w:widowControl/>
              <w:spacing w:before="0" w:after="100" w:line="259" w:lineRule="auto"/>
              <w:jc w:val="left"/>
            </w:pPr>
            <w:r>
              <w:rPr>
                <w:rFonts w:ascii="Calibri" w:hAnsi="Calibri" w:eastAsia="Calibri" w:cs="Calibri"/>
                <w:b w:val="0"/>
                <w:i w:val="0"/>
                <w:color w:val="4C547D"/>
                <w:sz w:val="17"/>
              </w:rPr>
              <w:t>3.7V, 800mAh pack for short power interruptions.</w:t>
            </w:r>
          </w:p>
          <w:p>
            <w:pPr>
              <w:widowControl/>
              <w:spacing w:before="0" w:after="0" w:line="259" w:lineRule="auto"/>
              <w:jc w:val="left"/>
            </w:pPr>
            <w:r>
              <w:rPr>
                <w:rFonts w:ascii="Calibri" w:hAnsi="Calibri" w:eastAsia="Calibri" w:cs="Calibri"/>
                <w:b/>
                <w:i w:val="0"/>
                <w:color w:val="252737"/>
                <w:sz w:val="20"/>
              </w:rPr>
              <w:t>Male &amp; female 3-pin power adapter</w:t>
            </w:r>
          </w:p>
          <w:p>
            <w:pPr>
              <w:widowControl/>
              <w:spacing w:before="0" w:after="100" w:line="259" w:lineRule="auto"/>
              <w:jc w:val="left"/>
            </w:pPr>
            <w:r>
              <w:rPr>
                <w:rFonts w:ascii="Calibri" w:hAnsi="Calibri" w:eastAsia="Calibri" w:cs="Calibri"/>
                <w:b w:val="0"/>
                <w:i w:val="0"/>
                <w:color w:val="4C547D"/>
                <w:sz w:val="17"/>
              </w:rPr>
              <w:t>Plugs into a standard 120V outlet. No electrician required.</w:t>
            </w:r>
          </w:p>
          <w:p>
            <w:pPr>
              <w:widowControl/>
              <w:spacing w:before="0" w:after="0" w:line="259" w:lineRule="auto"/>
              <w:jc w:val="left"/>
            </w:pPr>
            <w:r>
              <w:rPr>
                <w:rFonts w:ascii="Calibri" w:hAnsi="Calibri" w:eastAsia="Calibri" w:cs="Calibri"/>
                <w:b/>
                <w:i w:val="0"/>
                <w:color w:val="252737"/>
                <w:sz w:val="20"/>
              </w:rPr>
              <w:t>Mounting kit</w:t>
            </w:r>
          </w:p>
          <w:p>
            <w:pPr>
              <w:widowControl/>
              <w:spacing w:before="0" w:after="100" w:line="259" w:lineRule="auto"/>
              <w:jc w:val="left"/>
            </w:pPr>
            <w:r>
              <w:rPr>
                <w:rFonts w:ascii="Calibri" w:hAnsi="Calibri" w:eastAsia="Calibri" w:cs="Calibri"/>
                <w:b w:val="0"/>
                <w:i w:val="0"/>
                <w:color w:val="4C547D"/>
                <w:sz w:val="17"/>
              </w:rPr>
              <w:t>Mounting brackets and corrosion-resistant screws. Hang so the middle of the unit is ~4 ft off the ground.</w:t>
            </w:r>
          </w:p>
          <w:p>
            <w:pPr>
              <w:widowControl/>
              <w:spacing w:before="0" w:after="0" w:line="259" w:lineRule="auto"/>
              <w:jc w:val="left"/>
            </w:pPr>
            <w:r>
              <w:rPr>
                <w:rFonts w:ascii="Calibri" w:hAnsi="Calibri" w:eastAsia="Calibri" w:cs="Calibri"/>
                <w:b/>
                <w:i w:val="0"/>
                <w:color w:val="252737"/>
                <w:sz w:val="20"/>
              </w:rPr>
              <w:t>Life-safety power flag</w:t>
            </w:r>
          </w:p>
          <w:p>
            <w:pPr>
              <w:widowControl/>
              <w:spacing w:before="0" w:after="100" w:line="259" w:lineRule="auto"/>
              <w:jc w:val="left"/>
            </w:pPr>
            <w:r>
              <w:rPr>
                <w:rFonts w:ascii="Calibri" w:hAnsi="Calibri" w:eastAsia="Calibri" w:cs="Calibri"/>
                <w:b w:val="0"/>
                <w:i w:val="0"/>
                <w:color w:val="4C547D"/>
                <w:sz w:val="17"/>
              </w:rPr>
              <w:t>Orange warning flag to clearly identify power — Do Not Disconnect.</w:t>
            </w:r>
          </w:p>
          <w:p>
            <w:pPr>
              <w:widowControl/>
              <w:spacing w:before="0" w:after="0" w:line="259" w:lineRule="auto"/>
              <w:jc w:val="left"/>
            </w:pPr>
            <w:r>
              <w:rPr>
                <w:rFonts w:ascii="Calibri" w:hAnsi="Calibri" w:eastAsia="Calibri" w:cs="Calibri"/>
                <w:b/>
                <w:i w:val="0"/>
                <w:color w:val="252737"/>
                <w:sz w:val="20"/>
              </w:rPr>
              <w:t>24/7 troubleshooting &amp; repair</w:t>
            </w:r>
          </w:p>
          <w:p>
            <w:pPr>
              <w:widowControl/>
              <w:spacing w:before="0" w:after="100" w:line="259" w:lineRule="auto"/>
              <w:jc w:val="left"/>
            </w:pPr>
            <w:r>
              <w:rPr>
                <w:rFonts w:ascii="Calibri" w:hAnsi="Calibri" w:eastAsia="Calibri" w:cs="Calibri"/>
                <w:b w:val="0"/>
                <w:i w:val="0"/>
                <w:color w:val="4C547D"/>
                <w:sz w:val="17"/>
              </w:rPr>
              <w:t>Access to SouthEast Telephone support after activation.</w:t>
            </w:r>
          </w:p>
        </w:tc>
      </w:tr>
    </w:tbl>
    <w:p>
      <w:pPr>
        <w:widowControl/>
        <w:spacing w:before="0" w:after="0" w:line="240" w:lineRule="auto"/>
        <w:jc w:val="left"/>
      </w:pPr>
      <w:r>
        <w:rPr>
          <w:rFonts w:ascii="Calibri" w:hAnsi="Calibri" w:eastAsia="Calibri" w:cs="Calibri"/>
          <w:b w:val="0"/>
          <w:i w:val="0"/>
          <w:color w:val="FFFFFF"/>
          <w:sz w:val="14"/>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tcMar>
              <w:top w:w="20" w:type="dxa"/>
              <w:left w:w="40" w:type="dxa"/>
              <w:bottom w:w="20" w:type="dxa"/>
              <w:right w:w="40" w:type="dxa"/>
            </w:tcMar>
          </w:tcPr>
          <w:p>
            <w:pPr>
              <w:widowControl/>
              <w:spacing w:before="0" w:after="40" w:line="259" w:lineRule="auto"/>
              <w:jc w:val="left"/>
            </w:pPr>
            <w:r>
              <w:rPr>
                <w:rFonts w:ascii="Calibri" w:hAnsi="Calibri" w:eastAsia="Calibri" w:cs="Calibri"/>
                <w:b/>
                <w:i w:val="0"/>
                <w:color w:val="252737"/>
                <w:sz w:val="32"/>
              </w:rPr>
              <w:t>STS-6741 Solution Diagram</w:t>
            </w:r>
          </w:p>
          <w:p>
            <w:pPr>
              <w:widowControl/>
              <w:spacing w:before="0" w:after="120" w:line="259" w:lineRule="auto"/>
              <w:jc w:val="left"/>
            </w:pPr>
            <w:r>
              <w:rPr>
                <w:rFonts w:ascii="Calibri" w:hAnsi="Calibri" w:eastAsia="Calibri" w:cs="Calibri"/>
                <w:b w:val="0"/>
                <w:i w:val="0"/>
                <w:color w:val="252737"/>
                <w:sz w:val="20"/>
              </w:rPr>
              <w:t>Lift the handset. The STS-6741 places the call over 4G/LTE. Emergency calls use a carrier-grade E911 routing network with nationwide PSAP coverage and dispatchable location delivery. Dispatch receives the registered pool name, physical address, and callback number — the same way a landline does.</w:t>
            </w:r>
          </w:p>
        </w:tc>
      </w:tr>
      <w:tr>
        <w:tc>
          <w:tcPr>
            <w:tcW w:type="dxa" w:w="11376"/>
            <w:tcMar>
              <w:top w:w="40" w:type="dxa"/>
              <w:left w:w="40" w:type="dxa"/>
              <w:bottom w:w="40" w:type="dxa"/>
              <w:right w:w="40" w:type="dxa"/>
            </w:tcMar>
            <w:shd w:val="clear" w:color="auto" w:fill="F6F7F9"/>
          </w:tcPr>
          <w:p>
            <w:pPr>
              <w:widowControl/>
              <w:spacing w:before="0" w:after="0" w:line="259" w:lineRule="auto"/>
              <w:jc w:val="center"/>
            </w:pPr>
            <w:r>
              <w:drawing>
                <wp:inline xmlns:a="http://schemas.openxmlformats.org/drawingml/2006/main" xmlns:pic="http://schemas.openxmlformats.org/drawingml/2006/picture">
                  <wp:extent cx="6766560" cy="1353312"/>
                  <wp:docPr id="16" name="Picture 16"/>
                  <wp:cNvGraphicFramePr>
                    <a:graphicFrameLocks noChangeAspect="1"/>
                  </wp:cNvGraphicFramePr>
                  <a:graphic>
                    <a:graphicData uri="http://schemas.openxmlformats.org/drawingml/2006/picture">
                      <pic:pic>
                        <pic:nvPicPr>
                          <pic:cNvPr id="0" name="how-it-works.png"/>
                          <pic:cNvPicPr/>
                        </pic:nvPicPr>
                        <pic:blipFill>
                          <a:blip r:embed="rId21"/>
                          <a:stretch>
                            <a:fillRect/>
                          </a:stretch>
                        </pic:blipFill>
                        <pic:spPr>
                          <a:xfrm>
                            <a:off x="0" y="0"/>
                            <a:ext cx="6766560" cy="1353312"/>
                          </a:xfrm>
                          <a:prstGeom prst="rect"/>
                        </pic:spPr>
                      </pic:pic>
                    </a:graphicData>
                  </a:graphic>
                </wp:inline>
              </w:drawing>
            </w:r>
          </w:p>
        </w:tc>
      </w:tr>
    </w:tbl>
    <w:p>
      <w:pPr>
        <w:widowControl/>
        <w:spacing w:before="0" w:after="0" w:line="240" w:lineRule="auto"/>
        <w:jc w:val="left"/>
      </w:pPr>
      <w:r>
        <w:rPr>
          <w:rFonts w:ascii="Calibri" w:hAnsi="Calibri" w:eastAsia="Calibri" w:cs="Calibri"/>
          <w:b w:val="0"/>
          <w:i w:val="0"/>
          <w:color w:val="FFFFFF"/>
          <w:sz w:val="16"/>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shd w:val="clear" w:color="auto" w:fill="005DE0"/>
            <w:tcMar>
              <w:top w:w="80" w:type="dxa"/>
              <w:left w:w="140" w:type="dxa"/>
              <w:bottom w:w="80" w:type="dxa"/>
              <w:right w:w="140" w:type="dxa"/>
            </w:tcMar>
            <w:vAlign w:val="center"/>
          </w:tcPr>
          <w:p>
            <w:pPr>
              <w:widowControl/>
              <w:spacing w:before="0" w:after="0" w:line="259" w:lineRule="auto"/>
              <w:jc w:val="center"/>
            </w:pPr>
            <w:r>
              <w:rPr>
                <w:rFonts w:ascii="Calibri" w:hAnsi="Calibri" w:eastAsia="Calibri" w:cs="Calibri"/>
                <w:b/>
                <w:i w:val="0"/>
                <w:color w:val="FFFFFF"/>
                <w:sz w:val="20"/>
              </w:rPr>
              <w:t>Direct 911  ·  No monitoring center  ·  Landline-style name, address, and callback delivery.</w:t>
            </w:r>
          </w:p>
        </w:tc>
      </w:tr>
    </w:tbl>
    <w:p>
      <w:pPr>
        <w:widowControl/>
        <w:spacing w:before="0" w:after="0" w:line="259" w:lineRule="auto"/>
        <w:jc w:val="left"/>
      </w:pPr>
      <w:r>
        <w:br w:type="page"/>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752"/>
        <w:gridCol w:w="3600"/>
        <w:gridCol w:w="3024"/>
      </w:tblGrid>
      <w:tr>
        <w:trPr>
          <w:trHeight w:val="835" w:hRule="atLeast"/>
          <w:cantSplit/>
        </w:trPr>
        <w:tc>
          <w:tcPr>
            <w:tcW w:type="dxa" w:w="4752"/>
            <w:tcMar>
              <w:top w:w="20" w:type="dxa"/>
              <w:left w:w="40" w:type="dxa"/>
              <w:bottom w:w="20" w:type="dxa"/>
              <w:right w:w="40" w:type="dxa"/>
            </w:tcMar>
            <w:vAlign w:val="center"/>
          </w:tcPr>
          <w:p>
            <w:pPr>
              <w:widowControl/>
              <w:spacing w:before="0" w:after="0" w:line="259" w:lineRule="auto"/>
              <w:jc w:val="left"/>
            </w:pPr>
            <w:r>
              <w:drawing>
                <wp:inline xmlns:a="http://schemas.openxmlformats.org/drawingml/2006/main" xmlns:pic="http://schemas.openxmlformats.org/drawingml/2006/picture">
                  <wp:extent cx="2331720" cy="433034"/>
                  <wp:docPr id="17" name="Picture 17"/>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2331720" cy="433034"/>
                          </a:xfrm>
                          <a:prstGeom prst="rect"/>
                        </pic:spPr>
                      </pic:pic>
                    </a:graphicData>
                  </a:graphic>
                </wp:inline>
              </w:drawing>
            </w:r>
          </w:p>
        </w:tc>
        <w:tc>
          <w:tcPr>
            <w:tcW w:type="dxa" w:w="3600"/>
            <w:tcMar>
              <w:top w:w="20" w:type="dxa"/>
              <w:left w:w="40" w:type="dxa"/>
              <w:bottom w:w="20" w:type="dxa"/>
              <w:right w:w="40" w:type="dxa"/>
            </w:tcMar>
            <w:vAlign w:val="center"/>
          </w:tcPr>
          <w:p>
            <w:pPr>
              <w:widowControl/>
              <w:spacing w:before="0" w:after="0" w:line="259" w:lineRule="auto"/>
              <w:jc w:val="right"/>
            </w:pPr>
            <w:r>
              <w:rPr>
                <w:rFonts w:ascii="Calibri" w:hAnsi="Calibri" w:eastAsia="Calibri" w:cs="Calibri"/>
                <w:b/>
                <w:i w:val="0"/>
                <w:color w:val="112A5A"/>
                <w:sz w:val="32"/>
              </w:rPr>
              <w:t>STS-6741</w:t>
            </w:r>
          </w:p>
          <w:p>
            <w:pPr>
              <w:widowControl/>
              <w:spacing w:before="0" w:after="0" w:line="259" w:lineRule="auto"/>
              <w:jc w:val="right"/>
            </w:pPr>
            <w:r>
              <w:rPr>
                <w:rFonts w:ascii="Calibri" w:hAnsi="Calibri" w:eastAsia="Calibri" w:cs="Calibri"/>
                <w:b w:val="0"/>
                <w:i w:val="0"/>
                <w:color w:val="4C547D"/>
                <w:sz w:val="18"/>
              </w:rPr>
              <w:t>Direct 911  ·  Installation  ·  Compliance</w:t>
            </w:r>
          </w:p>
        </w:tc>
        <w:tc>
          <w:tcPr>
            <w:tcW w:type="dxa" w:w="3024"/>
            <w:tcMar>
              <w:top w:w="20" w:type="dxa"/>
              <w:left w:w="40" w:type="dxa"/>
              <w:bottom w:w="20" w:type="dxa"/>
              <w:right w:w="40" w:type="dxa"/>
            </w:tcMar>
            <w:vAlign w:val="center"/>
          </w:tcPr>
          <w:p>
            <w:pPr>
              <w:widowControl/>
              <w:spacing w:before="0" w:after="0" w:line="259" w:lineRule="auto"/>
              <w:jc w:val="right"/>
            </w:pPr>
            <w:r>
              <w:drawing>
                <wp:inline xmlns:a="http://schemas.openxmlformats.org/drawingml/2006/main" xmlns:pic="http://schemas.openxmlformats.org/drawingml/2006/picture">
                  <wp:extent cx="1737360" cy="735037"/>
                  <wp:docPr id="18" name="Picture 18"/>
                  <wp:cNvGraphicFramePr>
                    <a:graphicFrameLocks noChangeAspect="1"/>
                  </wp:cNvGraphicFramePr>
                  <a:graphic>
                    <a:graphicData uri="http://schemas.openxmlformats.org/drawingml/2006/picture">
                      <pic:pic>
                        <pic:nvPicPr>
                          <pic:cNvPr id="0" name="orbs.png"/>
                          <pic:cNvPicPr/>
                        </pic:nvPicPr>
                        <pic:blipFill>
                          <a:blip r:embed="rId10"/>
                          <a:stretch>
                            <a:fillRect/>
                          </a:stretch>
                        </pic:blipFill>
                        <pic:spPr>
                          <a:xfrm>
                            <a:off x="0" y="0"/>
                            <a:ext cx="1737360" cy="735037"/>
                          </a:xfrm>
                          <a:prstGeom prst="rect"/>
                        </pic:spPr>
                      </pic:pic>
                    </a:graphicData>
                  </a:graphic>
                </wp:inline>
              </w:drawing>
            </w:r>
          </w:p>
        </w:tc>
      </w:tr>
    </w:tbl>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rPr>
          <w:trHeight w:val="64" w:hRule="exact"/>
        </w:trPr>
        <w:tc>
          <w:tcPr>
            <w:tcW w:type="dxa" w:w="11376"/>
            <w:shd w:val="clear" w:color="auto" w:fill="005DE0"/>
            <w:tcMar>
              <w:top w:w="0" w:type="dxa"/>
              <w:left w:w="0" w:type="dxa"/>
              <w:bottom w:w="0" w:type="dxa"/>
              <w:right w:w="0" w:type="dxa"/>
            </w:tcMar>
          </w:tcPr>
          <w:p>
            <w:pPr>
              <w:widowControl/>
              <w:spacing w:before="0" w:after="0" w:line="259" w:lineRule="auto"/>
              <w:jc w:val="left"/>
            </w:pPr>
            <w:r>
              <w:rPr>
                <w:rFonts w:ascii="Calibri" w:hAnsi="Calibri" w:eastAsia="Calibri" w:cs="Calibri"/>
                <w:b w:val="0"/>
                <w:i w:val="0"/>
                <w:color w:val="005DE0"/>
                <w:sz w:val="4"/>
              </w:rPr>
              <w:t xml:space="preserve"> </w:t>
            </w:r>
          </w:p>
        </w:tc>
      </w:tr>
    </w:tbl>
    <w:p>
      <w:pPr>
        <w:widowControl/>
        <w:spacing w:before="0" w:after="0" w:line="240" w:lineRule="auto"/>
        <w:jc w:val="left"/>
      </w:pPr>
      <w:r>
        <w:rPr>
          <w:rFonts w:ascii="Calibri" w:hAnsi="Calibri" w:eastAsia="Calibri" w:cs="Calibri"/>
          <w:b w:val="0"/>
          <w:i w:val="0"/>
          <w:color w:val="FFFFFF"/>
          <w:sz w:val="10"/>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tcMar>
              <w:top w:w="10" w:type="dxa"/>
              <w:left w:w="40" w:type="dxa"/>
              <w:bottom w:w="10" w:type="dxa"/>
              <w:right w:w="40" w:type="dxa"/>
            </w:tcMar>
          </w:tcPr>
          <w:p>
            <w:pPr>
              <w:widowControl/>
              <w:spacing w:before="0" w:after="80" w:line="259" w:lineRule="auto"/>
              <w:jc w:val="left"/>
            </w:pPr>
            <w:r>
              <w:rPr>
                <w:rFonts w:ascii="Calibri" w:hAnsi="Calibri" w:eastAsia="Calibri" w:cs="Calibri"/>
                <w:b/>
                <w:i w:val="0"/>
                <w:color w:val="252737"/>
                <w:sz w:val="40"/>
              </w:rPr>
              <w:t>Direct 911 with landline-style location delivery.</w:t>
            </w:r>
          </w:p>
          <w:p>
            <w:pPr>
              <w:widowControl/>
              <w:spacing w:before="0" w:after="0" w:line="278" w:lineRule="auto"/>
              <w:jc w:val="left"/>
            </w:pPr>
            <w:r>
              <w:rPr>
                <w:rFonts w:ascii="Calibri" w:hAnsi="Calibri" w:eastAsia="Calibri" w:cs="Calibri"/>
                <w:b w:val="0"/>
                <w:i w:val="0"/>
                <w:color w:val="252737"/>
                <w:sz w:val="21"/>
              </w:rPr>
              <w:t>Most wireless pool phones rely on a prerecorded audible message or a third-party monitoring center that looks up the address and relays it. The STS-6741 does neither. Emergency calls use a carrier-grade E911 routing network with nationwide PSAP coverage and dispatchable location delivery, so dispatchers receive the correct information instantly.</w:t>
            </w:r>
          </w:p>
        </w:tc>
      </w:tr>
    </w:tbl>
    <w:p>
      <w:pPr>
        <w:widowControl/>
        <w:spacing w:before="0" w:after="0" w:line="240" w:lineRule="auto"/>
        <w:jc w:val="left"/>
      </w:pPr>
      <w:r>
        <w:rPr>
          <w:rFonts w:ascii="Calibri" w:hAnsi="Calibri" w:eastAsia="Calibri" w:cs="Calibri"/>
          <w:b w:val="0"/>
          <w:i w:val="0"/>
          <w:color w:val="FFFFFF"/>
          <w:sz w:val="14"/>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787"/>
        <w:gridCol w:w="3787"/>
        <w:gridCol w:w="3801"/>
      </w:tblGrid>
      <w:tr>
        <w:tc>
          <w:tcPr>
            <w:tcW w:type="dxa" w:w="3787"/>
            <w:shd w:val="clear" w:color="auto" w:fill="F6F7F9"/>
            <w:tcMar>
              <w:top w:w="100" w:type="dxa"/>
              <w:left w:w="100" w:type="dxa"/>
              <w:bottom w:w="100" w:type="dxa"/>
              <w:right w:w="100" w:type="dxa"/>
            </w:tcMar>
            <w:tcBorders>
              <w:top w:val="single" w:sz="4" w:space="0" w:color="D3D6E4"/>
              <w:left w:val="single" w:sz="4" w:space="0" w:color="D3D6E4"/>
              <w:bottom w:val="single" w:sz="4" w:space="0" w:color="D3D6E4"/>
              <w:right w:val="single" w:sz="4" w:space="0" w:color="D3D6E4"/>
            </w:tcBorders>
          </w:tcPr>
          <w:p>
            <w:pPr>
              <w:widowControl/>
              <w:spacing w:before="0" w:after="120" w:line="259" w:lineRule="auto"/>
              <w:jc w:val="left"/>
            </w:pPr>
            <w:r>
              <w:rPr>
                <w:rFonts w:ascii="Calibri" w:hAnsi="Calibri" w:eastAsia="Calibri" w:cs="Calibri"/>
                <w:b/>
                <w:i w:val="0"/>
                <w:color w:val="112A5A"/>
                <w:sz w:val="22"/>
              </w:rPr>
              <w:t>What dispatch receives</w:t>
            </w:r>
          </w:p>
          <w:p>
            <w:pPr>
              <w:widowControl/>
              <w:spacing w:before="0" w:after="60" w:line="264" w:lineRule="auto"/>
              <w:jc w:val="left"/>
            </w:pPr>
            <w:r>
              <w:rPr>
                <w:rFonts w:ascii="Calibri" w:hAnsi="Calibri" w:eastAsia="Calibri" w:cs="Calibri"/>
                <w:b w:val="0"/>
                <w:i w:val="0"/>
                <w:color w:val="252737"/>
                <w:sz w:val="18"/>
              </w:rPr>
              <w:t>•  Registered pool / property name</w:t>
            </w:r>
          </w:p>
          <w:p>
            <w:pPr>
              <w:widowControl/>
              <w:spacing w:before="0" w:after="60" w:line="264" w:lineRule="auto"/>
              <w:jc w:val="left"/>
            </w:pPr>
            <w:r>
              <w:rPr>
                <w:rFonts w:ascii="Calibri" w:hAnsi="Calibri" w:eastAsia="Calibri" w:cs="Calibri"/>
                <w:b w:val="0"/>
                <w:i w:val="0"/>
                <w:color w:val="252737"/>
                <w:sz w:val="18"/>
              </w:rPr>
              <w:t>•  Physical street address</w:t>
            </w:r>
          </w:p>
          <w:p>
            <w:pPr>
              <w:widowControl/>
              <w:spacing w:before="0" w:after="60" w:line="264" w:lineRule="auto"/>
              <w:jc w:val="left"/>
            </w:pPr>
            <w:r>
              <w:rPr>
                <w:rFonts w:ascii="Calibri" w:hAnsi="Calibri" w:eastAsia="Calibri" w:cs="Calibri"/>
                <w:b w:val="0"/>
                <w:i w:val="0"/>
                <w:color w:val="252737"/>
                <w:sz w:val="18"/>
              </w:rPr>
              <w:t>•  Callback number tied to the device</w:t>
            </w:r>
          </w:p>
          <w:p>
            <w:pPr>
              <w:widowControl/>
              <w:spacing w:before="0" w:after="60" w:line="264" w:lineRule="auto"/>
              <w:jc w:val="left"/>
            </w:pPr>
            <w:r>
              <w:rPr>
                <w:rFonts w:ascii="Calibri" w:hAnsi="Calibri" w:eastAsia="Calibri" w:cs="Calibri"/>
                <w:b w:val="0"/>
                <w:i w:val="0"/>
                <w:color w:val="252737"/>
                <w:sz w:val="18"/>
              </w:rPr>
              <w:t>•  Two-way voice from the handset</w:t>
            </w:r>
          </w:p>
        </w:tc>
        <w:tc>
          <w:tcPr>
            <w:tcW w:type="dxa" w:w="3787"/>
            <w:shd w:val="clear" w:color="auto" w:fill="F6F7F9"/>
            <w:tcMar>
              <w:top w:w="100" w:type="dxa"/>
              <w:left w:w="100" w:type="dxa"/>
              <w:bottom w:w="100" w:type="dxa"/>
              <w:right w:w="100" w:type="dxa"/>
            </w:tcMar>
            <w:tcBorders>
              <w:top w:val="single" w:sz="4" w:space="0" w:color="D3D6E4"/>
              <w:left w:val="single" w:sz="4" w:space="0" w:color="D3D6E4"/>
              <w:bottom w:val="single" w:sz="4" w:space="0" w:color="D3D6E4"/>
              <w:right w:val="single" w:sz="4" w:space="0" w:color="D3D6E4"/>
            </w:tcBorders>
          </w:tcPr>
          <w:p>
            <w:pPr>
              <w:widowControl/>
              <w:spacing w:before="0" w:after="120" w:line="259" w:lineRule="auto"/>
              <w:jc w:val="left"/>
            </w:pPr>
            <w:r>
              <w:rPr>
                <w:rFonts w:ascii="Calibri" w:hAnsi="Calibri" w:eastAsia="Calibri" w:cs="Calibri"/>
                <w:b/>
                <w:i w:val="0"/>
                <w:color w:val="112A5A"/>
                <w:sz w:val="22"/>
              </w:rPr>
              <w:t>What inspectors look for</w:t>
            </w:r>
          </w:p>
          <w:p>
            <w:pPr>
              <w:widowControl/>
              <w:spacing w:before="0" w:after="60" w:line="264" w:lineRule="auto"/>
              <w:jc w:val="left"/>
            </w:pPr>
            <w:r>
              <w:rPr>
                <w:rFonts w:ascii="Calibri" w:hAnsi="Calibri" w:eastAsia="Calibri" w:cs="Calibri"/>
                <w:b w:val="0"/>
                <w:i w:val="0"/>
                <w:color w:val="252737"/>
                <w:sz w:val="18"/>
              </w:rPr>
              <w:t>•  Dedicated emergency access</w:t>
            </w:r>
          </w:p>
          <w:p>
            <w:pPr>
              <w:widowControl/>
              <w:spacing w:before="0" w:after="60" w:line="264" w:lineRule="auto"/>
              <w:jc w:val="left"/>
            </w:pPr>
            <w:r>
              <w:rPr>
                <w:rFonts w:ascii="Calibri" w:hAnsi="Calibri" w:eastAsia="Calibri" w:cs="Calibri"/>
                <w:b w:val="0"/>
                <w:i w:val="0"/>
                <w:color w:val="252737"/>
                <w:sz w:val="18"/>
              </w:rPr>
              <w:t>•  Handset operation (where required)</w:t>
            </w:r>
          </w:p>
          <w:p>
            <w:pPr>
              <w:widowControl/>
              <w:spacing w:before="0" w:after="60" w:line="264" w:lineRule="auto"/>
              <w:jc w:val="left"/>
            </w:pPr>
            <w:r>
              <w:rPr>
                <w:rFonts w:ascii="Calibri" w:hAnsi="Calibri" w:eastAsia="Calibri" w:cs="Calibri"/>
                <w:b w:val="0"/>
                <w:i w:val="0"/>
                <w:color w:val="252737"/>
                <w:sz w:val="18"/>
              </w:rPr>
              <w:t>•  Clear two-way audio</w:t>
            </w:r>
          </w:p>
          <w:p>
            <w:pPr>
              <w:widowControl/>
              <w:spacing w:before="0" w:after="60" w:line="264" w:lineRule="auto"/>
              <w:jc w:val="left"/>
            </w:pPr>
            <w:r>
              <w:rPr>
                <w:rFonts w:ascii="Calibri" w:hAnsi="Calibri" w:eastAsia="Calibri" w:cs="Calibri"/>
                <w:b w:val="0"/>
                <w:i w:val="0"/>
                <w:color w:val="252737"/>
                <w:sz w:val="18"/>
              </w:rPr>
              <w:t>•  Direct 911 dialing</w:t>
            </w:r>
          </w:p>
          <w:p>
            <w:pPr>
              <w:widowControl/>
              <w:spacing w:before="0" w:after="60" w:line="264" w:lineRule="auto"/>
              <w:jc w:val="left"/>
            </w:pPr>
            <w:r>
              <w:rPr>
                <w:rFonts w:ascii="Calibri" w:hAnsi="Calibri" w:eastAsia="Calibri" w:cs="Calibri"/>
                <w:b w:val="0"/>
                <w:i w:val="0"/>
                <w:color w:val="252737"/>
                <w:sz w:val="18"/>
              </w:rPr>
              <w:t>•  Accurate location delivery</w:t>
            </w:r>
          </w:p>
          <w:p>
            <w:pPr>
              <w:widowControl/>
              <w:spacing w:before="0" w:after="60" w:line="264" w:lineRule="auto"/>
              <w:jc w:val="left"/>
            </w:pPr>
            <w:r>
              <w:rPr>
                <w:rFonts w:ascii="Calibri" w:hAnsi="Calibri" w:eastAsia="Calibri" w:cs="Calibri"/>
                <w:b w:val="0"/>
                <w:i w:val="0"/>
                <w:color w:val="252737"/>
                <w:sz w:val="18"/>
              </w:rPr>
              <w:t>•  Visible, accessible placement</w:t>
            </w:r>
          </w:p>
        </w:tc>
        <w:tc>
          <w:tcPr>
            <w:tcW w:type="dxa" w:w="3801"/>
            <w:shd w:val="clear" w:color="auto" w:fill="F6F7F9"/>
            <w:tcMar>
              <w:top w:w="100" w:type="dxa"/>
              <w:left w:w="100" w:type="dxa"/>
              <w:bottom w:w="100" w:type="dxa"/>
              <w:right w:w="100" w:type="dxa"/>
            </w:tcMar>
            <w:tcBorders>
              <w:top w:val="single" w:sz="4" w:space="0" w:color="D3D6E4"/>
              <w:left w:val="single" w:sz="4" w:space="0" w:color="D3D6E4"/>
              <w:bottom w:val="single" w:sz="4" w:space="0" w:color="D3D6E4"/>
              <w:right w:val="single" w:sz="4" w:space="0" w:color="D3D6E4"/>
            </w:tcBorders>
          </w:tcPr>
          <w:p>
            <w:pPr>
              <w:widowControl/>
              <w:spacing w:before="0" w:after="120" w:line="259" w:lineRule="auto"/>
              <w:jc w:val="left"/>
            </w:pPr>
            <w:r>
              <w:rPr>
                <w:rFonts w:ascii="Calibri" w:hAnsi="Calibri" w:eastAsia="Calibri" w:cs="Calibri"/>
                <w:b/>
                <w:i w:val="0"/>
                <w:color w:val="112A5A"/>
                <w:sz w:val="22"/>
              </w:rPr>
              <w:t>What this is — and is not</w:t>
            </w:r>
          </w:p>
          <w:p>
            <w:pPr>
              <w:widowControl/>
              <w:spacing w:before="0" w:after="60" w:line="264" w:lineRule="auto"/>
              <w:jc w:val="left"/>
            </w:pPr>
            <w:r>
              <w:rPr>
                <w:rFonts w:ascii="Calibri" w:hAnsi="Calibri" w:eastAsia="Calibri" w:cs="Calibri"/>
                <w:b w:val="0"/>
                <w:i w:val="0"/>
                <w:color w:val="252737"/>
                <w:sz w:val="18"/>
              </w:rPr>
              <w:t>•  Pool emergency phones</w:t>
            </w:r>
          </w:p>
          <w:p>
            <w:pPr>
              <w:widowControl/>
              <w:spacing w:before="0" w:after="60" w:line="264" w:lineRule="auto"/>
              <w:jc w:val="left"/>
            </w:pPr>
            <w:r>
              <w:rPr>
                <w:rFonts w:ascii="Calibri" w:hAnsi="Calibri" w:eastAsia="Calibri" w:cs="Calibri"/>
                <w:b w:val="0"/>
                <w:i w:val="0"/>
                <w:color w:val="252737"/>
                <w:sz w:val="18"/>
              </w:rPr>
              <w:t>•  Elevator emergency phones</w:t>
            </w:r>
          </w:p>
          <w:p>
            <w:pPr>
              <w:widowControl/>
              <w:spacing w:before="0" w:after="60" w:line="264" w:lineRule="auto"/>
              <w:jc w:val="left"/>
            </w:pPr>
            <w:r>
              <w:rPr>
                <w:rFonts w:ascii="Calibri" w:hAnsi="Calibri" w:eastAsia="Calibri" w:cs="Calibri"/>
                <w:b w:val="0"/>
                <w:i w:val="0"/>
                <w:color w:val="252737"/>
                <w:sz w:val="18"/>
              </w:rPr>
              <w:t>•  Building safety phones / call boxes</w:t>
            </w:r>
          </w:p>
          <w:p>
            <w:pPr>
              <w:widowControl/>
              <w:spacing w:before="0" w:after="60" w:line="264" w:lineRule="auto"/>
              <w:jc w:val="left"/>
            </w:pPr>
            <w:r>
              <w:rPr>
                <w:rFonts w:ascii="Calibri" w:hAnsi="Calibri" w:eastAsia="Calibri" w:cs="Calibri"/>
                <w:b w:val="0"/>
                <w:i w:val="0"/>
                <w:color w:val="252737"/>
                <w:sz w:val="18"/>
              </w:rPr>
              <w:t>•  Not for fire-alarm FACP lines</w:t>
            </w:r>
          </w:p>
          <w:p>
            <w:pPr>
              <w:widowControl/>
              <w:spacing w:before="0" w:after="60" w:line="264" w:lineRule="auto"/>
              <w:jc w:val="left"/>
            </w:pPr>
            <w:r>
              <w:rPr>
                <w:rFonts w:ascii="Calibri" w:hAnsi="Calibri" w:eastAsia="Calibri" w:cs="Calibri"/>
                <w:b w:val="0"/>
                <w:i w:val="0"/>
                <w:color w:val="252737"/>
                <w:sz w:val="18"/>
              </w:rPr>
              <w:t>•  No added monitoring required</w:t>
            </w:r>
          </w:p>
          <w:p>
            <w:pPr>
              <w:widowControl/>
              <w:spacing w:before="0" w:after="60" w:line="264" w:lineRule="auto"/>
              <w:jc w:val="left"/>
            </w:pPr>
            <w:r>
              <w:rPr>
                <w:rFonts w:ascii="Calibri" w:hAnsi="Calibri" w:eastAsia="Calibri" w:cs="Calibri"/>
                <w:b w:val="0"/>
                <w:i w:val="0"/>
                <w:color w:val="252737"/>
                <w:sz w:val="18"/>
              </w:rPr>
              <w:t>•  Coverage not available everywhere</w:t>
            </w:r>
          </w:p>
        </w:tc>
      </w:tr>
    </w:tbl>
    <w:p>
      <w:pPr>
        <w:widowControl/>
        <w:spacing w:before="0" w:after="0" w:line="240" w:lineRule="auto"/>
        <w:jc w:val="left"/>
      </w:pPr>
      <w:r>
        <w:rPr>
          <w:rFonts w:ascii="Calibri" w:hAnsi="Calibri" w:eastAsia="Calibri" w:cs="Calibri"/>
          <w:b w:val="0"/>
          <w:i w:val="0"/>
          <w:color w:val="FFFFFF"/>
          <w:sz w:val="20"/>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480"/>
        <w:gridCol w:w="4896"/>
      </w:tblGrid>
      <w:tr>
        <w:tc>
          <w:tcPr>
            <w:tcW w:type="dxa" w:w="6480"/>
            <w:tcMar>
              <w:top w:w="40" w:type="dxa"/>
              <w:left w:w="40" w:type="dxa"/>
              <w:bottom w:w="40" w:type="dxa"/>
              <w:right w:w="80" w:type="dxa"/>
            </w:tcMar>
          </w:tcPr>
          <w:p>
            <w:pPr>
              <w:widowControl/>
              <w:spacing w:before="0" w:after="80" w:line="259" w:lineRule="auto"/>
              <w:jc w:val="left"/>
            </w:pPr>
            <w:r>
              <w:rPr>
                <w:rFonts w:ascii="Calibri" w:hAnsi="Calibri" w:eastAsia="Calibri" w:cs="Calibri"/>
                <w:b/>
                <w:i w:val="0"/>
                <w:color w:val="252737"/>
                <w:sz w:val="28"/>
              </w:rPr>
              <w:t>Fast, professional-grade deployment</w:t>
            </w:r>
          </w:p>
          <w:p>
            <w:pPr>
              <w:widowControl/>
              <w:spacing w:before="0" w:after="160" w:line="276" w:lineRule="auto"/>
              <w:jc w:val="left"/>
            </w:pPr>
            <w:r>
              <w:rPr>
                <w:rFonts w:ascii="Calibri" w:hAnsi="Calibri" w:eastAsia="Calibri" w:cs="Calibri"/>
                <w:b w:val="0"/>
                <w:i w:val="0"/>
                <w:color w:val="252737"/>
                <w:sz w:val="20"/>
              </w:rPr>
              <w:t>Designed for quick installation and activation by builders, contractors, and property managers. Most customers self-install. Professional installation is available on request.</w:t>
            </w:r>
          </w:p>
          <w:p>
            <w:pPr>
              <w:widowControl/>
              <w:spacing w:before="0" w:after="100" w:line="269" w:lineRule="auto"/>
              <w:jc w:val="left"/>
            </w:pPr>
            <w:r>
              <w:rPr>
                <w:rFonts w:ascii="Calibri" w:hAnsi="Calibri" w:eastAsia="Calibri" w:cs="Calibri"/>
                <w:b/>
                <w:i w:val="0"/>
                <w:color w:val="005DE0"/>
                <w:sz w:val="20"/>
              </w:rPr>
              <w:t xml:space="preserve">01   </w:t>
            </w:r>
            <w:r>
              <w:rPr>
                <w:rFonts w:ascii="Calibri" w:hAnsi="Calibri" w:eastAsia="Calibri" w:cs="Calibri"/>
                <w:b w:val="0"/>
                <w:i w:val="0"/>
                <w:color w:val="252737"/>
                <w:sz w:val="19"/>
              </w:rPr>
              <w:t>Attach each standoff / mounting bracket to the corners behind the weatherproof box.</w:t>
            </w:r>
          </w:p>
          <w:p>
            <w:pPr>
              <w:widowControl/>
              <w:spacing w:before="0" w:after="100" w:line="269" w:lineRule="auto"/>
              <w:jc w:val="left"/>
            </w:pPr>
            <w:r>
              <w:rPr>
                <w:rFonts w:ascii="Calibri" w:hAnsi="Calibri" w:eastAsia="Calibri" w:cs="Calibri"/>
                <w:b/>
                <w:i w:val="0"/>
                <w:color w:val="005DE0"/>
                <w:sz w:val="20"/>
              </w:rPr>
              <w:t xml:space="preserve">02   </w:t>
            </w:r>
            <w:r>
              <w:rPr>
                <w:rFonts w:ascii="Calibri" w:hAnsi="Calibri" w:eastAsia="Calibri" w:cs="Calibri"/>
                <w:b w:val="0"/>
                <w:i w:val="0"/>
                <w:color w:val="252737"/>
                <w:sz w:val="19"/>
              </w:rPr>
              <w:t>Hang the unit so the middle is approximately 4 ft off the ground. Use a level.</w:t>
            </w:r>
          </w:p>
          <w:p>
            <w:pPr>
              <w:widowControl/>
              <w:spacing w:before="0" w:after="100" w:line="269" w:lineRule="auto"/>
              <w:jc w:val="left"/>
            </w:pPr>
            <w:r>
              <w:rPr>
                <w:rFonts w:ascii="Calibri" w:hAnsi="Calibri" w:eastAsia="Calibri" w:cs="Calibri"/>
                <w:b/>
                <w:i w:val="0"/>
                <w:color w:val="005DE0"/>
                <w:sz w:val="20"/>
              </w:rPr>
              <w:t xml:space="preserve">03   </w:t>
            </w:r>
            <w:r>
              <w:rPr>
                <w:rFonts w:ascii="Calibri" w:hAnsi="Calibri" w:eastAsia="Calibri" w:cs="Calibri"/>
                <w:b w:val="0"/>
                <w:i w:val="0"/>
                <w:color w:val="252737"/>
                <w:sz w:val="19"/>
              </w:rPr>
              <w:t>Secure the power cord, run it through a wall, or use wire covering from a hardware store.</w:t>
            </w:r>
          </w:p>
          <w:p>
            <w:pPr>
              <w:widowControl/>
              <w:spacing w:before="0" w:after="100" w:line="269" w:lineRule="auto"/>
              <w:jc w:val="left"/>
            </w:pPr>
            <w:r>
              <w:rPr>
                <w:rFonts w:ascii="Calibri" w:hAnsi="Calibri" w:eastAsia="Calibri" w:cs="Calibri"/>
                <w:b/>
                <w:i w:val="0"/>
                <w:color w:val="005DE0"/>
                <w:sz w:val="20"/>
              </w:rPr>
              <w:t xml:space="preserve">04   </w:t>
            </w:r>
            <w:r>
              <w:rPr>
                <w:rFonts w:ascii="Calibri" w:hAnsi="Calibri" w:eastAsia="Calibri" w:cs="Calibri"/>
                <w:b w:val="0"/>
                <w:i w:val="0"/>
                <w:color w:val="252737"/>
                <w:sz w:val="19"/>
              </w:rPr>
              <w:t>Plug into a standard 120V outlet. Turn the unit on with the power switch inside. Wait five full minutes.</w:t>
            </w:r>
          </w:p>
          <w:p>
            <w:pPr>
              <w:widowControl/>
              <w:spacing w:before="0" w:after="100" w:line="269" w:lineRule="auto"/>
              <w:jc w:val="left"/>
            </w:pPr>
            <w:r>
              <w:rPr>
                <w:rFonts w:ascii="Calibri" w:hAnsi="Calibri" w:eastAsia="Calibri" w:cs="Calibri"/>
                <w:b/>
                <w:i w:val="0"/>
                <w:color w:val="005DE0"/>
                <w:sz w:val="20"/>
              </w:rPr>
              <w:t xml:space="preserve">05   </w:t>
            </w:r>
            <w:r>
              <w:rPr>
                <w:rFonts w:ascii="Calibri" w:hAnsi="Calibri" w:eastAsia="Calibri" w:cs="Calibri"/>
                <w:b w:val="0"/>
                <w:i w:val="0"/>
                <w:color w:val="252737"/>
                <w:sz w:val="19"/>
              </w:rPr>
              <w:t>SouthEast Telephone must confirm service activation before the unit will place emergency calls.</w:t>
            </w:r>
          </w:p>
          <w:p>
            <w:pPr>
              <w:widowControl/>
              <w:spacing w:before="0" w:after="100" w:line="269" w:lineRule="auto"/>
              <w:jc w:val="left"/>
            </w:pPr>
            <w:r>
              <w:rPr>
                <w:rFonts w:ascii="Calibri" w:hAnsi="Calibri" w:eastAsia="Calibri" w:cs="Calibri"/>
                <w:b/>
                <w:i w:val="0"/>
                <w:color w:val="005DE0"/>
                <w:sz w:val="20"/>
              </w:rPr>
              <w:t xml:space="preserve">06   </w:t>
            </w:r>
            <w:r>
              <w:rPr>
                <w:rFonts w:ascii="Calibri" w:hAnsi="Calibri" w:eastAsia="Calibri" w:cs="Calibri"/>
                <w:b w:val="0"/>
                <w:i w:val="0"/>
                <w:color w:val="252737"/>
                <w:sz w:val="19"/>
              </w:rPr>
              <w:t>Because this is an auto-dial model, it will not place standard outgoing calls. It will accept inbound calls for a first test.</w:t>
            </w:r>
          </w:p>
          <w:p>
            <w:pPr>
              <w:widowControl/>
              <w:spacing w:before="0" w:after="100" w:line="269" w:lineRule="auto"/>
              <w:jc w:val="left"/>
            </w:pPr>
            <w:r>
              <w:rPr>
                <w:rFonts w:ascii="Calibri" w:hAnsi="Calibri" w:eastAsia="Calibri" w:cs="Calibri"/>
                <w:b/>
                <w:i w:val="0"/>
                <w:color w:val="005DE0"/>
                <w:sz w:val="20"/>
              </w:rPr>
              <w:t xml:space="preserve">07   </w:t>
            </w:r>
            <w:r>
              <w:rPr>
                <w:rFonts w:ascii="Calibri" w:hAnsi="Calibri" w:eastAsia="Calibri" w:cs="Calibri"/>
                <w:b w:val="0"/>
                <w:i w:val="0"/>
                <w:color w:val="252737"/>
                <w:sz w:val="19"/>
              </w:rPr>
              <w:t>To complete testing, lift the handset — it auto-dials 911. Tell dispatch this is a test, not an emergency. They will confirm location, name, address, and phone number.</w:t>
            </w:r>
          </w:p>
        </w:tc>
        <w:tc>
          <w:tcPr>
            <w:tcW w:type="dxa" w:w="4896"/>
            <w:shd w:val="clear" w:color="auto" w:fill="112A5A"/>
            <w:tcMar>
              <w:top w:w="140" w:type="dxa"/>
              <w:left w:w="140" w:type="dxa"/>
              <w:bottom w:w="140" w:type="dxa"/>
              <w:right w:w="140" w:type="dxa"/>
            </w:tcMar>
          </w:tcPr>
          <w:p>
            <w:pPr>
              <w:widowControl/>
              <w:spacing w:before="0" w:after="120" w:line="259" w:lineRule="auto"/>
              <w:jc w:val="left"/>
            </w:pPr>
            <w:r>
              <w:rPr>
                <w:rFonts w:ascii="Calibri" w:hAnsi="Calibri" w:eastAsia="Calibri" w:cs="Calibri"/>
                <w:b/>
                <w:i w:val="0"/>
                <w:color w:val="2893FF"/>
                <w:sz w:val="18"/>
              </w:rPr>
              <w:t>TURNKEY COMPLIANCE</w:t>
            </w:r>
          </w:p>
          <w:p>
            <w:pPr>
              <w:widowControl/>
              <w:spacing w:before="0" w:after="200" w:line="264" w:lineRule="auto"/>
              <w:jc w:val="left"/>
            </w:pPr>
            <w:r>
              <w:rPr>
                <w:rFonts w:ascii="Calibri" w:hAnsi="Calibri" w:eastAsia="Calibri" w:cs="Calibri"/>
                <w:b/>
                <w:i w:val="0"/>
                <w:color w:val="FFFFFF"/>
                <w:sz w:val="26"/>
              </w:rPr>
              <w:t>Meet most state and local emergency phone regulations without copper.</w:t>
            </w:r>
          </w:p>
          <w:p>
            <w:pPr>
              <w:widowControl/>
              <w:spacing w:before="0" w:after="0" w:line="259" w:lineRule="auto"/>
              <w:jc w:val="left"/>
            </w:pPr>
            <w:r>
              <w:rPr>
                <w:rFonts w:ascii="Calibri" w:hAnsi="Calibri" w:eastAsia="Calibri" w:cs="Calibri"/>
                <w:b/>
                <w:i w:val="0"/>
                <w:color w:val="2893FF"/>
                <w:sz w:val="20"/>
              </w:rPr>
              <w:t>Zero trenching</w:t>
            </w:r>
          </w:p>
          <w:p>
            <w:pPr>
              <w:widowControl/>
              <w:spacing w:before="0" w:after="160" w:line="269" w:lineRule="auto"/>
              <w:jc w:val="left"/>
            </w:pPr>
            <w:r>
              <w:rPr>
                <w:rFonts w:ascii="Calibri" w:hAnsi="Calibri" w:eastAsia="Calibri" w:cs="Calibri"/>
                <w:b w:val="0"/>
                <w:i w:val="0"/>
                <w:color w:val="FFFFFF"/>
                <w:sz w:val="18"/>
              </w:rPr>
              <w:t>Ideal for new commercial pool construction or retrofitting existing decks.</w:t>
            </w:r>
          </w:p>
          <w:p>
            <w:pPr>
              <w:widowControl/>
              <w:spacing w:before="0" w:after="0" w:line="259" w:lineRule="auto"/>
              <w:jc w:val="left"/>
            </w:pPr>
            <w:r>
              <w:rPr>
                <w:rFonts w:ascii="Calibri" w:hAnsi="Calibri" w:eastAsia="Calibri" w:cs="Calibri"/>
                <w:b/>
                <w:i w:val="0"/>
                <w:color w:val="2893FF"/>
                <w:sz w:val="20"/>
              </w:rPr>
              <w:t>Cost-effective</w:t>
            </w:r>
          </w:p>
          <w:p>
            <w:pPr>
              <w:widowControl/>
              <w:spacing w:before="0" w:after="160" w:line="269" w:lineRule="auto"/>
              <w:jc w:val="left"/>
            </w:pPr>
            <w:r>
              <w:rPr>
                <w:rFonts w:ascii="Calibri" w:hAnsi="Calibri" w:eastAsia="Calibri" w:cs="Calibri"/>
                <w:b w:val="0"/>
                <w:i w:val="0"/>
                <w:color w:val="FFFFFF"/>
                <w:sz w:val="18"/>
              </w:rPr>
              <w:t>Introductory pricing that keeps the operating budget predictable.</w:t>
            </w:r>
          </w:p>
          <w:p>
            <w:pPr>
              <w:widowControl/>
              <w:spacing w:before="0" w:after="0" w:line="259" w:lineRule="auto"/>
              <w:jc w:val="left"/>
            </w:pPr>
            <w:r>
              <w:rPr>
                <w:rFonts w:ascii="Calibri" w:hAnsi="Calibri" w:eastAsia="Calibri" w:cs="Calibri"/>
                <w:b/>
                <w:i w:val="0"/>
                <w:color w:val="2893FF"/>
                <w:sz w:val="20"/>
              </w:rPr>
              <w:t>Dependable network</w:t>
            </w:r>
          </w:p>
          <w:p>
            <w:pPr>
              <w:widowControl/>
              <w:spacing w:before="0" w:after="160" w:line="269" w:lineRule="auto"/>
              <w:jc w:val="left"/>
            </w:pPr>
            <w:r>
              <w:rPr>
                <w:rFonts w:ascii="Calibri" w:hAnsi="Calibri" w:eastAsia="Calibri" w:cs="Calibri"/>
                <w:b w:val="0"/>
                <w:i w:val="0"/>
                <w:color w:val="FFFFFF"/>
                <w:sz w:val="18"/>
              </w:rPr>
              <w:t>4G/LTE cellular dedicated to emergency response.</w:t>
            </w:r>
          </w:p>
          <w:p>
            <w:pPr>
              <w:widowControl/>
              <w:spacing w:before="0" w:after="0" w:line="259" w:lineRule="auto"/>
              <w:jc w:val="left"/>
            </w:pPr>
            <w:r>
              <w:rPr>
                <w:rFonts w:ascii="Calibri" w:hAnsi="Calibri" w:eastAsia="Calibri" w:cs="Calibri"/>
                <w:b/>
                <w:i w:val="0"/>
                <w:color w:val="2893FF"/>
                <w:sz w:val="20"/>
              </w:rPr>
              <w:t>Seasonal pools</w:t>
            </w:r>
          </w:p>
          <w:p>
            <w:pPr>
              <w:widowControl/>
              <w:spacing w:before="0" w:after="160" w:line="269" w:lineRule="auto"/>
              <w:jc w:val="left"/>
            </w:pPr>
            <w:r>
              <w:rPr>
                <w:rFonts w:ascii="Calibri" w:hAnsi="Calibri" w:eastAsia="Calibri" w:cs="Calibri"/>
                <w:b w:val="0"/>
                <w:i w:val="0"/>
                <w:color w:val="FFFFFF"/>
                <w:sz w:val="18"/>
              </w:rPr>
              <w:t>Power down in the off-season and reactivate at opening.</w:t>
            </w:r>
          </w:p>
          <w:p>
            <w:pPr>
              <w:widowControl/>
              <w:spacing w:before="0" w:after="0" w:line="259" w:lineRule="auto"/>
              <w:jc w:val="left"/>
            </w:pPr>
            <w:r>
              <w:rPr>
                <w:rFonts w:ascii="Calibri" w:hAnsi="Calibri" w:eastAsia="Calibri" w:cs="Calibri"/>
                <w:b/>
                <w:i w:val="0"/>
                <w:color w:val="2893FF"/>
                <w:sz w:val="20"/>
              </w:rPr>
              <w:t>Licensed</w:t>
            </w:r>
          </w:p>
          <w:p>
            <w:pPr>
              <w:widowControl/>
              <w:spacing w:before="0" w:after="160" w:line="269" w:lineRule="auto"/>
              <w:jc w:val="left"/>
            </w:pPr>
            <w:r>
              <w:rPr>
                <w:rFonts w:ascii="Calibri" w:hAnsi="Calibri" w:eastAsia="Calibri" w:cs="Calibri"/>
                <w:b w:val="0"/>
                <w:i w:val="0"/>
                <w:color w:val="FFFFFF"/>
                <w:sz w:val="18"/>
              </w:rPr>
              <w:t>NC SP-FA/LV: 33766  ·  BBB A+  ·  30+ years.</w:t>
            </w:r>
          </w:p>
        </w:tc>
      </w:tr>
    </w:tbl>
    <w:p>
      <w:pPr>
        <w:widowControl/>
        <w:spacing w:before="0" w:after="0" w:line="240" w:lineRule="auto"/>
        <w:jc w:val="left"/>
      </w:pPr>
      <w:r>
        <w:rPr>
          <w:rFonts w:ascii="Calibri" w:hAnsi="Calibri" w:eastAsia="Calibri" w:cs="Calibri"/>
          <w:b w:val="0"/>
          <w:i w:val="0"/>
          <w:color w:val="FFFFFF"/>
          <w:sz w:val="16"/>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shd w:val="clear" w:color="auto" w:fill="005DE0"/>
            <w:tcMar>
              <w:top w:w="80" w:type="dxa"/>
              <w:left w:w="140" w:type="dxa"/>
              <w:bottom w:w="80" w:type="dxa"/>
              <w:right w:w="140" w:type="dxa"/>
            </w:tcMar>
            <w:vAlign w:val="center"/>
          </w:tcPr>
          <w:p>
            <w:pPr>
              <w:widowControl/>
              <w:spacing w:before="0" w:after="0" w:line="259" w:lineRule="auto"/>
              <w:jc w:val="center"/>
            </w:pPr>
            <w:r>
              <w:rPr>
                <w:rFonts w:ascii="Calibri" w:hAnsi="Calibri" w:eastAsia="Calibri" w:cs="Calibri"/>
                <w:b/>
                <w:i w:val="0"/>
                <w:color w:val="FFFFFF"/>
                <w:sz w:val="20"/>
              </w:rPr>
              <w:t>Emergency service will not work until system activation is confirmed by SouthEast Telephone.</w:t>
            </w:r>
          </w:p>
        </w:tc>
      </w:tr>
    </w:tbl>
    <w:p>
      <w:pPr>
        <w:widowControl/>
        <w:spacing w:before="0" w:after="0" w:line="259" w:lineRule="auto"/>
        <w:jc w:val="left"/>
      </w:pPr>
      <w:r>
        <w:br w:type="page"/>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752"/>
        <w:gridCol w:w="3600"/>
        <w:gridCol w:w="3024"/>
      </w:tblGrid>
      <w:tr>
        <w:trPr>
          <w:trHeight w:val="835" w:hRule="atLeast"/>
          <w:cantSplit/>
        </w:trPr>
        <w:tc>
          <w:tcPr>
            <w:tcW w:type="dxa" w:w="4752"/>
            <w:tcMar>
              <w:top w:w="20" w:type="dxa"/>
              <w:left w:w="40" w:type="dxa"/>
              <w:bottom w:w="20" w:type="dxa"/>
              <w:right w:w="40" w:type="dxa"/>
            </w:tcMar>
            <w:vAlign w:val="center"/>
          </w:tcPr>
          <w:p>
            <w:pPr>
              <w:widowControl/>
              <w:spacing w:before="0" w:after="0" w:line="259" w:lineRule="auto"/>
              <w:jc w:val="left"/>
            </w:pPr>
            <w:r>
              <w:drawing>
                <wp:inline xmlns:a="http://schemas.openxmlformats.org/drawingml/2006/main" xmlns:pic="http://schemas.openxmlformats.org/drawingml/2006/picture">
                  <wp:extent cx="2331720" cy="433034"/>
                  <wp:docPr id="19" name="Picture 19"/>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2331720" cy="433034"/>
                          </a:xfrm>
                          <a:prstGeom prst="rect"/>
                        </pic:spPr>
                      </pic:pic>
                    </a:graphicData>
                  </a:graphic>
                </wp:inline>
              </w:drawing>
            </w:r>
          </w:p>
        </w:tc>
        <w:tc>
          <w:tcPr>
            <w:tcW w:type="dxa" w:w="3600"/>
            <w:tcMar>
              <w:top w:w="20" w:type="dxa"/>
              <w:left w:w="40" w:type="dxa"/>
              <w:bottom w:w="20" w:type="dxa"/>
              <w:right w:w="40" w:type="dxa"/>
            </w:tcMar>
            <w:vAlign w:val="center"/>
          </w:tcPr>
          <w:p>
            <w:pPr>
              <w:widowControl/>
              <w:spacing w:before="0" w:after="0" w:line="259" w:lineRule="auto"/>
              <w:jc w:val="right"/>
            </w:pPr>
            <w:r>
              <w:rPr>
                <w:rFonts w:ascii="Calibri" w:hAnsi="Calibri" w:eastAsia="Calibri" w:cs="Calibri"/>
                <w:b/>
                <w:i w:val="0"/>
                <w:color w:val="112A5A"/>
                <w:sz w:val="32"/>
              </w:rPr>
              <w:t>STS-6741</w:t>
            </w:r>
          </w:p>
          <w:p>
            <w:pPr>
              <w:widowControl/>
              <w:spacing w:before="0" w:after="0" w:line="259" w:lineRule="auto"/>
              <w:jc w:val="right"/>
            </w:pPr>
            <w:r>
              <w:rPr>
                <w:rFonts w:ascii="Calibri" w:hAnsi="Calibri" w:eastAsia="Calibri" w:cs="Calibri"/>
                <w:b w:val="0"/>
                <w:i w:val="0"/>
                <w:color w:val="4C547D"/>
                <w:sz w:val="18"/>
              </w:rPr>
              <w:t>Specifications</w:t>
            </w:r>
          </w:p>
        </w:tc>
        <w:tc>
          <w:tcPr>
            <w:tcW w:type="dxa" w:w="3024"/>
            <w:tcMar>
              <w:top w:w="20" w:type="dxa"/>
              <w:left w:w="40" w:type="dxa"/>
              <w:bottom w:w="20" w:type="dxa"/>
              <w:right w:w="40" w:type="dxa"/>
            </w:tcMar>
            <w:vAlign w:val="center"/>
          </w:tcPr>
          <w:p>
            <w:pPr>
              <w:widowControl/>
              <w:spacing w:before="0" w:after="0" w:line="259" w:lineRule="auto"/>
              <w:jc w:val="right"/>
            </w:pPr>
            <w:r>
              <w:drawing>
                <wp:inline xmlns:a="http://schemas.openxmlformats.org/drawingml/2006/main" xmlns:pic="http://schemas.openxmlformats.org/drawingml/2006/picture">
                  <wp:extent cx="1737360" cy="735037"/>
                  <wp:docPr id="20" name="Picture 20"/>
                  <wp:cNvGraphicFramePr>
                    <a:graphicFrameLocks noChangeAspect="1"/>
                  </wp:cNvGraphicFramePr>
                  <a:graphic>
                    <a:graphicData uri="http://schemas.openxmlformats.org/drawingml/2006/picture">
                      <pic:pic>
                        <pic:nvPicPr>
                          <pic:cNvPr id="0" name="orbs.png"/>
                          <pic:cNvPicPr/>
                        </pic:nvPicPr>
                        <pic:blipFill>
                          <a:blip r:embed="rId10"/>
                          <a:stretch>
                            <a:fillRect/>
                          </a:stretch>
                        </pic:blipFill>
                        <pic:spPr>
                          <a:xfrm>
                            <a:off x="0" y="0"/>
                            <a:ext cx="1737360" cy="735037"/>
                          </a:xfrm>
                          <a:prstGeom prst="rect"/>
                        </pic:spPr>
                      </pic:pic>
                    </a:graphicData>
                  </a:graphic>
                </wp:inline>
              </w:drawing>
            </w:r>
          </w:p>
        </w:tc>
      </w:tr>
    </w:tbl>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rPr>
          <w:trHeight w:val="64" w:hRule="exact"/>
        </w:trPr>
        <w:tc>
          <w:tcPr>
            <w:tcW w:type="dxa" w:w="11376"/>
            <w:shd w:val="clear" w:color="auto" w:fill="005DE0"/>
            <w:tcMar>
              <w:top w:w="0" w:type="dxa"/>
              <w:left w:w="0" w:type="dxa"/>
              <w:bottom w:w="0" w:type="dxa"/>
              <w:right w:w="0" w:type="dxa"/>
            </w:tcMar>
          </w:tcPr>
          <w:p>
            <w:pPr>
              <w:widowControl/>
              <w:spacing w:before="0" w:after="0" w:line="259" w:lineRule="auto"/>
              <w:jc w:val="left"/>
            </w:pPr>
            <w:r>
              <w:rPr>
                <w:rFonts w:ascii="Calibri" w:hAnsi="Calibri" w:eastAsia="Calibri" w:cs="Calibri"/>
                <w:b w:val="0"/>
                <w:i w:val="0"/>
                <w:color w:val="005DE0"/>
                <w:sz w:val="4"/>
              </w:rPr>
              <w:t xml:space="preserve"> </w:t>
            </w:r>
          </w:p>
        </w:tc>
      </w:tr>
    </w:tbl>
    <w:p>
      <w:pPr>
        <w:widowControl/>
        <w:spacing w:before="0" w:after="0" w:line="240" w:lineRule="auto"/>
        <w:jc w:val="left"/>
      </w:pPr>
      <w:r>
        <w:rPr>
          <w:rFonts w:ascii="Calibri" w:hAnsi="Calibri" w:eastAsia="Calibri" w:cs="Calibri"/>
          <w:b w:val="0"/>
          <w:i w:val="0"/>
          <w:color w:val="FFFFFF"/>
          <w:sz w:val="8"/>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tcMar>
              <w:top w:w="10" w:type="dxa"/>
              <w:left w:w="40" w:type="dxa"/>
              <w:bottom w:w="20" w:type="dxa"/>
              <w:right w:w="40" w:type="dxa"/>
            </w:tcMar>
          </w:tcPr>
          <w:p>
            <w:pPr>
              <w:widowControl/>
              <w:spacing w:before="0" w:after="40" w:line="259" w:lineRule="auto"/>
              <w:jc w:val="left"/>
            </w:pPr>
            <w:r>
              <w:rPr>
                <w:rFonts w:ascii="Calibri" w:hAnsi="Calibri" w:eastAsia="Calibri" w:cs="Calibri"/>
                <w:b/>
                <w:i w:val="0"/>
                <w:color w:val="252737"/>
                <w:sz w:val="40"/>
              </w:rPr>
              <w:t>STS-6741 Specifications</w:t>
            </w:r>
          </w:p>
          <w:p>
            <w:pPr>
              <w:widowControl/>
              <w:spacing w:before="0" w:after="0" w:line="259" w:lineRule="auto"/>
              <w:jc w:val="left"/>
            </w:pPr>
            <w:r>
              <w:rPr>
                <w:rFonts w:ascii="Calibri" w:hAnsi="Calibri" w:eastAsia="Calibri" w:cs="Calibri"/>
                <w:b w:val="0"/>
                <w:i w:val="0"/>
                <w:color w:val="4C547D"/>
                <w:sz w:val="19"/>
              </w:rPr>
              <w:t>Wireless module and analog telephony specifications from the 4G LTE FWT ETS-8848 platform. Enclosure, power, and kit details as shipped by SouthEast Telephone.</w:t>
            </w:r>
          </w:p>
        </w:tc>
      </w:tr>
    </w:tbl>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096"/>
        <w:gridCol w:w="8280"/>
      </w:tblGrid>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Wireless module</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Quectel EC25AFX (USA); Cat-4 LTE. VoLTE supported. Industrial 4G LTE fixed-wireless module.</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Frequency bands</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4G LTE FDD: B2 / B4 / B5 / B12 / B13 / B14 / B66 / B71.  3G WCDMA: B2 / B4 / B5.</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Telephony</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Two RJ-11 analog FXS outputs. Hanging voltage 45 V. Off-hook current 30 mA / 41 mA. Dial-tone frequency 450 Hz. Caller ID. DTMF / FSK. Polarity reversal for metering.</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Antenna</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SMA-female interface. Magnetic-base high-gain antenna with 3 m cable. Antenna gain &gt; 2.5 dB. Sensitivity &lt; −104 dBm.</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SIM</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Single SIM slot, 1.8 V / 3 V. Bottom-side access on the FWT.</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Ethernet / data</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Voice-primary FWT. Calls ride the carrier LTE network (VoLTE). Not a general-purpose router.</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Power</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AC adapter: input 110–240 VAC 50–60 Hz; output 5 VDC / 2 A. Standard 120 V outlet. Male &amp; female 3-pin plug adapter included.</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Battery backup</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Replaceable Li-ion pack, 3.7 V, 800 mAh (included in the STS-6741 kit).</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Enclosure</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NEMA-rated IP66 weatherproof housing with clear door. Tamper-resistant. Corrosion-resistant screws. Life-safety power warning flag.</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Handset</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Non-proprietary trimline telephone. Auto-dial 911 on off-hook. Accepts inbound calls. Clear two-way audio.</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FWT mechanical</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ABS housing. 170 × 110 × 30 mm excluding antenna. Main unit weight 250 g. White / black.</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Indicators &amp; controls</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LEDs: Power, In Use, In Talk, Battery, Signal strength (3). Power rocker switch. Factory restore via DTMF codes.</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Environment</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Operating −10 °C to 60 °C. Storage −20 °C to 70 °C. Humidity 45–95%. Atmospheric pressure 86–106 kPa.</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911 / location</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Emergency calls use a carrier-grade E911 routing network with nationwide PSAP coverage and dispatchable location delivery. Dispatch receives registered pool name, physical address, and callback number. No monitoring center.</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Administration</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DTMF function settings from the connected telephone (dial interval, earpiece/mic gain, CLIP, incoming-call barring, billing mode). Web portal is not required.</w:t>
            </w:r>
          </w:p>
        </w:tc>
      </w:tr>
      <w:tr>
        <w:tc>
          <w:tcPr>
            <w:tcW w:type="dxa" w:w="3096"/>
            <w:shd w:val="clear" w:color="auto" w:fill="FFFFFF"/>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Service</w:t>
            </w:r>
          </w:p>
        </w:tc>
        <w:tc>
          <w:tcPr>
            <w:tcW w:type="dxa" w:w="8280"/>
            <w:shd w:val="clear" w:color="auto" w:fill="FFFFFF"/>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Hardware + 4G/LTE voice service from SouthEast Telephone. Activation must be confirmed before emergency calling. Coverage not available everywhere.</w:t>
            </w:r>
          </w:p>
        </w:tc>
      </w:tr>
      <w:tr>
        <w:tc>
          <w:tcPr>
            <w:tcW w:type="dxa" w:w="3096"/>
            <w:shd w:val="clear" w:color="auto" w:fill="F6F7F9"/>
            <w:tcMar>
              <w:top w:w="50" w:type="dxa"/>
              <w:left w:w="80" w:type="dxa"/>
              <w:bottom w:w="50" w:type="dxa"/>
              <w:right w:w="60" w:type="dxa"/>
            </w:tcMar>
            <w:vAlign w:val="top"/>
            <w:tcBorders>
              <w:top w:val="nil"/>
              <w:left w:val="nil"/>
              <w:bottom w:val="single" w:sz="4" w:space="0" w:color="E3E6EF"/>
              <w:right w:val="nil"/>
            </w:tcBorders>
          </w:tcPr>
          <w:p>
            <w:pPr>
              <w:widowControl/>
              <w:spacing w:before="0" w:after="0" w:line="259" w:lineRule="auto"/>
              <w:jc w:val="left"/>
            </w:pPr>
            <w:r>
              <w:rPr>
                <w:rFonts w:ascii="Calibri" w:hAnsi="Calibri" w:eastAsia="Calibri" w:cs="Calibri"/>
                <w:b/>
                <w:i w:val="0"/>
                <w:color w:val="112A5A"/>
                <w:sz w:val="18"/>
              </w:rPr>
              <w:t>Licensing</w:t>
            </w:r>
          </w:p>
        </w:tc>
        <w:tc>
          <w:tcPr>
            <w:tcW w:type="dxa" w:w="8280"/>
            <w:shd w:val="clear" w:color="auto" w:fill="F6F7F9"/>
            <w:tcMar>
              <w:top w:w="50" w:type="dxa"/>
              <w:left w:w="80" w:type="dxa"/>
              <w:bottom w:w="50" w:type="dxa"/>
              <w:right w:w="80" w:type="dxa"/>
            </w:tcMar>
            <w:vAlign w:val="top"/>
            <w:tcBorders>
              <w:top w:val="nil"/>
              <w:left w:val="nil"/>
              <w:bottom w:val="single" w:sz="4" w:space="0" w:color="E3E6EF"/>
              <w:right w:val="nil"/>
            </w:tcBorders>
          </w:tcPr>
          <w:p>
            <w:pPr>
              <w:widowControl/>
              <w:spacing w:before="0" w:after="0" w:line="269" w:lineRule="auto"/>
              <w:jc w:val="left"/>
            </w:pPr>
            <w:r>
              <w:rPr>
                <w:rFonts w:ascii="Calibri" w:hAnsi="Calibri" w:eastAsia="Calibri" w:cs="Calibri"/>
                <w:b w:val="0"/>
                <w:i w:val="0"/>
                <w:color w:val="252737"/>
                <w:sz w:val="18"/>
              </w:rPr>
              <w:t>SouthEast Telephone Service, Inc.  NC SP-FA/LV: 33766.  1032 W Academy St, Fuquay-Varina, NC 27526.</w:t>
            </w:r>
          </w:p>
        </w:tc>
      </w:tr>
    </w:tbl>
    <w:p>
      <w:pPr>
        <w:widowControl/>
        <w:spacing w:before="0" w:after="0" w:line="240" w:lineRule="auto"/>
        <w:jc w:val="left"/>
      </w:pPr>
      <w:r>
        <w:rPr>
          <w:rFonts w:ascii="Calibri" w:hAnsi="Calibri" w:eastAsia="Calibri" w:cs="Calibri"/>
          <w:b w:val="0"/>
          <w:i w:val="0"/>
          <w:color w:val="FFFFFF"/>
          <w:sz w:val="14"/>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tcMar>
              <w:top w:w="60" w:type="dxa"/>
              <w:left w:w="80" w:type="dxa"/>
              <w:bottom w:w="60" w:type="dxa"/>
              <w:right w:w="80" w:type="dxa"/>
            </w:tcMar>
            <w:shd w:val="clear" w:color="auto" w:fill="F6F7F9"/>
          </w:tcPr>
          <w:p>
            <w:pPr>
              <w:widowControl/>
              <w:spacing w:before="0" w:after="0" w:line="276" w:lineRule="auto"/>
              <w:jc w:val="left"/>
            </w:pPr>
            <w:r>
              <w:rPr>
                <w:rFonts w:ascii="Calibri" w:hAnsi="Calibri" w:eastAsia="Calibri" w:cs="Calibri"/>
                <w:b w:val="0"/>
                <w:i w:val="0"/>
                <w:color w:val="4C547D"/>
                <w:sz w:val="15"/>
              </w:rPr>
              <w:t>Service requires a compatible device. Coverage not available everywhere. Promotional equipment and service pricing available only to qualified customers. Requires a 36-month agreement. Subject to early termination fees. Taxes, fees, and other terms apply. $19.99/mo first 12 months; $39.99/mo remaining 24 months; $50.00/mo after the agreement on month-to-month terms, plus taxes and fees. Prices after discount with eligible AutoPay and paperless billing. The STS-6741 is not designed to replace analog lines for fire alarm control panel (FACP) communication. For your specific location, consult the local health department, building department, or an ADA expert, as AHJ enforcement can vary. © 2026 SouthEast Telephone Service, Inc.</w:t>
            </w:r>
          </w:p>
        </w:tc>
      </w:tr>
    </w:tbl>
    <w:p>
      <w:pPr>
        <w:widowControl/>
        <w:spacing w:before="0" w:after="0" w:line="240" w:lineRule="auto"/>
        <w:jc w:val="left"/>
      </w:pPr>
      <w:r>
        <w:rPr>
          <w:rFonts w:ascii="Calibri" w:hAnsi="Calibri" w:eastAsia="Calibri" w:cs="Calibri"/>
          <w:b w:val="0"/>
          <w:i w:val="0"/>
          <w:color w:val="FFFFFF"/>
          <w:sz w:val="14"/>
        </w:rPr>
        <w:t xml:space="preserve"> </w:t>
      </w:r>
    </w:p>
    <w:tbl>
      <w:tblPr>
        <w:tblW w:type="dxa" w:w="11376"/>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1376"/>
      </w:tblGrid>
      <w:tr>
        <w:tc>
          <w:tcPr>
            <w:tcW w:type="dxa" w:w="11376"/>
            <w:shd w:val="clear" w:color="auto" w:fill="005DE0"/>
            <w:tcMar>
              <w:top w:w="80" w:type="dxa"/>
              <w:left w:w="140" w:type="dxa"/>
              <w:bottom w:w="80" w:type="dxa"/>
              <w:right w:w="140" w:type="dxa"/>
            </w:tcMar>
            <w:vAlign w:val="center"/>
          </w:tcPr>
          <w:p>
            <w:pPr>
              <w:widowControl/>
              <w:spacing w:before="0" w:after="0" w:line="259" w:lineRule="auto"/>
              <w:jc w:val="center"/>
            </w:pPr>
            <w:r>
              <w:rPr>
                <w:rFonts w:ascii="Calibri" w:hAnsi="Calibri" w:eastAsia="Calibri" w:cs="Calibri"/>
                <w:b/>
                <w:i w:val="0"/>
                <w:color w:val="FFFFFF"/>
                <w:sz w:val="20"/>
              </w:rPr>
              <w:t>Save money with the STS-6741.  Call  866-711-3398  ·  southeasttelephone.net</w:t>
            </w:r>
          </w:p>
        </w:tc>
      </w:tr>
    </w:tbl>
    <w:sectPr w:rsidR="00FC693F" w:rsidRPr="0006063C" w:rsidSect="00034616">
      <w:pgSz w:w="12240" w:h="15840"/>
      <w:pgMar w:top="403" w:right="432" w:bottom="317" w:left="432" w:header="144"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pPr>
    <w:rPr>
      <w:rFonts w:ascii="Calibri" w:hAnsi="Calibri" w:eastAsia="Calibri" w:cs="Calibri"/>
      <w:color w:val="2527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STS-6741 Wireless Emergency Pool Phone Datasheet</dc:title>
  <dc:subject>4G/LTE POTS replacement for commercial and multi-tenant pool emergency phones</dc:subject>
  <dc:creator>SouthEast Telephone</dc:creator>
  <cp:keywords/>
  <dc:description>Template adapted from Ooma AirDial datasheet structure. Specifications from ETS-8848 FWT platform.</dc:description>
  <cp:lastModifiedBy/>
  <cp:revision>1</cp:revision>
  <dcterms:created xsi:type="dcterms:W3CDTF">2013-12-23T23:15:00Z</dcterms:created>
  <dcterms:modified xsi:type="dcterms:W3CDTF">2013-12-23T23:15:00Z</dcterms:modified>
  <cp:category>Product Datasheet</cp:category>
</cp:coreProperties>
</file>